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仿宋"/>
          <w:b w:val="0"/>
          <w:bCs w:val="0"/>
          <w:color w:val="auto"/>
          <w:spacing w:val="0"/>
          <w:kern w:val="0"/>
          <w:sz w:val="44"/>
          <w:szCs w:val="44"/>
          <w:highlight w:val="none"/>
          <w:lang w:bidi="zh-TW"/>
        </w:rPr>
      </w:pPr>
      <w:bookmarkStart w:id="12" w:name="_GoBack"/>
      <w:r>
        <w:rPr>
          <w:rFonts w:hint="eastAsia" w:ascii="方正小标宋简体" w:hAnsi="方正小标宋简体" w:eastAsia="方正小标宋简体" w:cs="仿宋"/>
          <w:b w:val="0"/>
          <w:bCs w:val="0"/>
          <w:color w:val="auto"/>
          <w:spacing w:val="0"/>
          <w:kern w:val="0"/>
          <w:sz w:val="44"/>
          <w:szCs w:val="44"/>
          <w:highlight w:val="none"/>
          <w:lang w:bidi="zh-TW"/>
        </w:rPr>
        <w:t>塔里木职业技术学院护理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仿宋"/>
          <w:b w:val="0"/>
          <w:bCs w:val="0"/>
          <w:color w:val="auto"/>
          <w:spacing w:val="0"/>
          <w:kern w:val="0"/>
          <w:sz w:val="44"/>
          <w:szCs w:val="44"/>
          <w:highlight w:val="none"/>
          <w:lang w:bidi="zh-TW"/>
        </w:rPr>
      </w:pPr>
      <w:r>
        <w:rPr>
          <w:rFonts w:hint="eastAsia" w:ascii="方正小标宋简体" w:hAnsi="方正小标宋简体" w:eastAsia="方正小标宋简体" w:cs="仿宋"/>
          <w:b w:val="0"/>
          <w:bCs w:val="0"/>
          <w:color w:val="auto"/>
          <w:spacing w:val="0"/>
          <w:kern w:val="0"/>
          <w:sz w:val="44"/>
          <w:szCs w:val="44"/>
          <w:highlight w:val="none"/>
          <w:lang w:bidi="zh-TW"/>
        </w:rPr>
        <w:t>专业人才培养方案</w:t>
      </w:r>
    </w:p>
    <w:p>
      <w:pPr>
        <w:pStyle w:val="2"/>
        <w:keepNext w:val="0"/>
        <w:keepLines w:val="0"/>
        <w:pageBreakBefore w:val="0"/>
        <w:wordWrap/>
        <w:overflowPunct/>
        <w:topLinePunct w:val="0"/>
        <w:bidi w:val="0"/>
        <w:spacing w:line="440" w:lineRule="exact"/>
        <w:jc w:val="both"/>
        <w:rPr>
          <w:color w:val="auto"/>
          <w:spacing w:val="0"/>
          <w:highlight w:val="none"/>
        </w:rPr>
      </w:pPr>
    </w:p>
    <w:p>
      <w:pPr>
        <w:keepNext w:val="0"/>
        <w:keepLines w:val="0"/>
        <w:pageBreakBefore w:val="0"/>
        <w:wordWrap/>
        <w:overflowPunct/>
        <w:topLinePunct w:val="0"/>
        <w:bidi w:val="0"/>
        <w:spacing w:line="440" w:lineRule="exact"/>
        <w:jc w:val="both"/>
        <w:rPr>
          <w:rFonts w:ascii="黑体" w:hAnsi="黑体" w:eastAsia="黑体" w:cs="仿宋"/>
          <w:b/>
          <w:bCs/>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一、专业名称及代码</w:t>
      </w:r>
      <w:r>
        <w:rPr>
          <w:rFonts w:hint="eastAsia" w:ascii="黑体" w:hAnsi="黑体" w:eastAsia="黑体" w:cs="仿宋"/>
          <w:b/>
          <w:bCs/>
          <w:color w:val="auto"/>
          <w:spacing w:val="0"/>
          <w:kern w:val="0"/>
          <w:sz w:val="28"/>
          <w:szCs w:val="28"/>
          <w:highlight w:val="none"/>
        </w:rPr>
        <w:t xml:space="preserve">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eastAsia="zh-CN"/>
        </w:rPr>
      </w:pPr>
      <w:r>
        <w:rPr>
          <w:rFonts w:hint="eastAsia" w:ascii="仿宋" w:hAnsi="仿宋" w:eastAsia="仿宋" w:cs="仿宋"/>
          <w:color w:val="auto"/>
          <w:spacing w:val="0"/>
          <w:kern w:val="0"/>
          <w:highlight w:val="none"/>
          <w:lang w:val="en-US" w:eastAsia="zh-CN"/>
        </w:rPr>
        <w:t>专业名称：</w:t>
      </w:r>
      <w:r>
        <w:rPr>
          <w:rFonts w:hint="eastAsia" w:ascii="仿宋" w:hAnsi="仿宋" w:eastAsia="仿宋" w:cs="仿宋"/>
          <w:color w:val="auto"/>
          <w:spacing w:val="0"/>
          <w:kern w:val="0"/>
          <w:highlight w:val="none"/>
          <w:lang w:eastAsia="zh-CN"/>
        </w:rPr>
        <w:t>护理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eastAsia="zh-CN"/>
        </w:rPr>
      </w:pPr>
      <w:r>
        <w:rPr>
          <w:rFonts w:hint="eastAsia" w:ascii="仿宋" w:hAnsi="仿宋" w:eastAsia="仿宋" w:cs="仿宋"/>
          <w:color w:val="auto"/>
          <w:spacing w:val="0"/>
          <w:kern w:val="0"/>
          <w:highlight w:val="none"/>
          <w:lang w:val="en-US" w:eastAsia="zh-CN"/>
        </w:rPr>
        <w:t>专业代码：520201</w:t>
      </w:r>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二、招生对象与学制</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普通高级中学毕业、中等职业学校毕业或具有同等学力。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eastAsia="zh-CN"/>
        </w:rPr>
      </w:pPr>
      <w:r>
        <w:rPr>
          <w:rFonts w:hint="eastAsia" w:ascii="仿宋" w:hAnsi="仿宋" w:eastAsia="仿宋" w:cs="仿宋"/>
          <w:color w:val="auto"/>
          <w:spacing w:val="0"/>
          <w:kern w:val="0"/>
          <w:highlight w:val="none"/>
          <w:lang w:val="en-US" w:eastAsia="zh-CN"/>
        </w:rPr>
        <w:t>标准学制3年，弹性学习年限3-5年。</w:t>
      </w:r>
    </w:p>
    <w:p>
      <w:pPr>
        <w:keepNext w:val="0"/>
        <w:keepLines w:val="0"/>
        <w:pageBreakBefore w:val="0"/>
        <w:wordWrap/>
        <w:overflowPunct/>
        <w:topLinePunct w:val="0"/>
        <w:bidi w:val="0"/>
        <w:spacing w:line="440" w:lineRule="exact"/>
        <w:jc w:val="both"/>
        <w:rPr>
          <w:rFonts w:ascii="黑体" w:hAnsi="黑体" w:eastAsia="黑体" w:cs="仿宋"/>
          <w:b/>
          <w:bCs/>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三、职业面向</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val="zh-TW" w:bidi="zh-TW"/>
        </w:rPr>
      </w:pPr>
      <w:bookmarkStart w:id="0" w:name="_Toc22757"/>
      <w:bookmarkStart w:id="1" w:name="_Toc14325"/>
      <w:r>
        <w:rPr>
          <w:rFonts w:hint="eastAsia" w:ascii="楷体" w:hAnsi="楷体" w:eastAsia="楷体" w:cs="楷体"/>
          <w:b w:val="0"/>
          <w:bCs w:val="0"/>
          <w:color w:val="auto"/>
          <w:spacing w:val="0"/>
          <w:kern w:val="0"/>
          <w:sz w:val="28"/>
          <w:szCs w:val="28"/>
          <w:highlight w:val="none"/>
          <w:lang w:val="zh-TW" w:bidi="zh-TW"/>
        </w:rPr>
        <w:t>（一）职业面向</w:t>
      </w:r>
      <w:bookmarkEnd w:id="0"/>
      <w:bookmarkEnd w:id="1"/>
    </w:p>
    <w:p>
      <w:pPr>
        <w:keepNext w:val="0"/>
        <w:keepLines w:val="0"/>
        <w:pageBreakBefore w:val="0"/>
        <w:widowControl w:val="0"/>
        <w:suppressLineNumbers w:val="0"/>
        <w:wordWrap/>
        <w:overflowPunct/>
        <w:topLinePunct w:val="0"/>
        <w:bidi w:val="0"/>
        <w:spacing w:before="0" w:beforeAutospacing="0" w:after="0" w:afterAutospacing="0" w:line="440" w:lineRule="exact"/>
        <w:ind w:left="0" w:right="0" w:firstLine="560" w:firstLineChars="200"/>
        <w:jc w:val="both"/>
        <w:rPr>
          <w:rFonts w:hint="eastAsia" w:ascii="仿宋" w:hAnsi="仿宋" w:eastAsia="仿宋" w:cs="仿宋"/>
          <w:color w:val="auto"/>
          <w:spacing w:val="0"/>
          <w:kern w:val="0"/>
          <w:sz w:val="28"/>
          <w:szCs w:val="28"/>
          <w:highlight w:val="none"/>
          <w:lang w:val="zh-TW" w:bidi="zh-TW"/>
        </w:rPr>
      </w:pPr>
      <w:r>
        <w:rPr>
          <w:rFonts w:hint="eastAsia" w:ascii="仿宋" w:hAnsi="仿宋" w:eastAsia="仿宋" w:cs="仿宋"/>
          <w:color w:val="auto"/>
          <w:spacing w:val="0"/>
          <w:kern w:val="0"/>
          <w:sz w:val="28"/>
          <w:szCs w:val="28"/>
          <w:highlight w:val="none"/>
          <w:lang w:val="zh-TW" w:bidi="zh-TW"/>
        </w:rPr>
        <w:t>1.护理专业职业面向。护理专业学生主要职业是面向各级临床医院、社区卫生服务机构、养老机构、托幼机构、产后康复机构、医养结合机构、临终关怀院</w:t>
      </w:r>
      <w:r>
        <w:rPr>
          <w:rFonts w:hint="eastAsia" w:ascii="仿宋" w:hAnsi="仿宋" w:eastAsia="仿宋" w:cs="仿宋"/>
          <w:color w:val="auto"/>
          <w:spacing w:val="0"/>
          <w:kern w:val="0"/>
          <w:sz w:val="28"/>
          <w:szCs w:val="28"/>
          <w:highlight w:val="none"/>
          <w:lang w:val="zh-TW" w:eastAsia="zh-CN" w:bidi="zh-TW"/>
        </w:rPr>
        <w:t>、</w:t>
      </w:r>
      <w:r>
        <w:rPr>
          <w:rFonts w:hint="default" w:ascii="仿宋" w:hAnsi="仿宋" w:eastAsia="仿宋" w:cs="仿宋"/>
          <w:color w:val="auto"/>
          <w:spacing w:val="0"/>
          <w:kern w:val="0"/>
          <w:sz w:val="28"/>
          <w:szCs w:val="28"/>
          <w:highlight w:val="none"/>
          <w:lang w:val="en-US" w:eastAsia="zh-CN" w:bidi="ar"/>
        </w:rPr>
        <w:t>康复保健机构</w:t>
      </w:r>
      <w:r>
        <w:rPr>
          <w:rFonts w:hint="eastAsia" w:ascii="仿宋" w:hAnsi="仿宋" w:eastAsia="仿宋" w:cs="仿宋"/>
          <w:color w:val="auto"/>
          <w:spacing w:val="0"/>
          <w:kern w:val="0"/>
          <w:sz w:val="28"/>
          <w:szCs w:val="28"/>
          <w:highlight w:val="none"/>
          <w:lang w:val="zh-TW" w:bidi="zh-TW"/>
        </w:rPr>
        <w:t>等岗位，从事临床护理、社区护理、老年护理与健康照护</w:t>
      </w:r>
      <w:r>
        <w:rPr>
          <w:rFonts w:hint="default" w:ascii="仿宋" w:hAnsi="仿宋" w:eastAsia="仿宋" w:cs="仿宋"/>
          <w:color w:val="auto"/>
          <w:spacing w:val="0"/>
          <w:kern w:val="0"/>
          <w:sz w:val="28"/>
          <w:szCs w:val="28"/>
          <w:highlight w:val="none"/>
          <w:lang w:bidi="zh-TW"/>
        </w:rPr>
        <w:t>、</w:t>
      </w:r>
      <w:r>
        <w:rPr>
          <w:rFonts w:hint="default" w:ascii="仿宋" w:hAnsi="仿宋" w:eastAsia="仿宋" w:cs="仿宋"/>
          <w:color w:val="auto"/>
          <w:spacing w:val="0"/>
          <w:kern w:val="0"/>
          <w:sz w:val="28"/>
          <w:szCs w:val="28"/>
          <w:highlight w:val="none"/>
          <w:lang w:val="en-US" w:eastAsia="zh-CN" w:bidi="ar"/>
        </w:rPr>
        <w:t>护理保健</w:t>
      </w:r>
      <w:r>
        <w:rPr>
          <w:rFonts w:hint="eastAsia" w:ascii="仿宋" w:hAnsi="仿宋" w:eastAsia="仿宋" w:cs="仿宋"/>
          <w:color w:val="auto"/>
          <w:spacing w:val="0"/>
          <w:kern w:val="0"/>
          <w:sz w:val="28"/>
          <w:szCs w:val="28"/>
          <w:highlight w:val="none"/>
          <w:lang w:val="zh-TW" w:bidi="zh-TW"/>
        </w:rPr>
        <w:t>工作(见表</w:t>
      </w:r>
      <w:r>
        <w:rPr>
          <w:rFonts w:hint="eastAsia" w:ascii="仿宋" w:hAnsi="仿宋" w:eastAsia="仿宋" w:cs="仿宋"/>
          <w:color w:val="auto"/>
          <w:spacing w:val="0"/>
          <w:kern w:val="0"/>
          <w:sz w:val="28"/>
          <w:szCs w:val="28"/>
          <w:highlight w:val="none"/>
          <w:lang w:bidi="zh-TW"/>
        </w:rPr>
        <w:t>1</w:t>
      </w:r>
      <w:r>
        <w:rPr>
          <w:rFonts w:hint="eastAsia" w:ascii="仿宋" w:hAnsi="仿宋" w:eastAsia="仿宋" w:cs="仿宋"/>
          <w:color w:val="auto"/>
          <w:spacing w:val="0"/>
          <w:kern w:val="0"/>
          <w:sz w:val="28"/>
          <w:szCs w:val="28"/>
          <w:highlight w:val="none"/>
          <w:lang w:val="zh-TW" w:bidi="zh-TW"/>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245" w:beforeAutospacing="0" w:after="0" w:afterAutospacing="0" w:line="440" w:lineRule="exact"/>
        <w:ind w:left="0" w:leftChars="0" w:right="0" w:firstLine="0" w:firstLineChars="0"/>
        <w:jc w:val="both"/>
        <w:textAlignment w:val="baseline"/>
        <w:rPr>
          <w:rFonts w:hint="default" w:ascii="仿宋" w:hAnsi="仿宋" w:eastAsia="仿宋" w:cs="仿宋"/>
          <w:color w:val="auto"/>
          <w:spacing w:val="0"/>
          <w:kern w:val="0"/>
          <w:sz w:val="28"/>
          <w:szCs w:val="28"/>
          <w:highlight w:val="none"/>
        </w:rPr>
      </w:pPr>
      <w:r>
        <w:rPr>
          <w:rFonts w:hint="default" w:ascii="仿宋" w:hAnsi="仿宋" w:eastAsia="仿宋" w:cs="仿宋"/>
          <w:snapToGrid/>
          <w:color w:val="auto"/>
          <w:spacing w:val="0"/>
          <w:kern w:val="0"/>
          <w:position w:val="2"/>
          <w:sz w:val="28"/>
          <w:szCs w:val="28"/>
          <w:highlight w:val="none"/>
          <w:lang w:eastAsia="zh-CN" w:bidi="ar"/>
        </w:rPr>
        <w:t xml:space="preserve">   （1）</w:t>
      </w:r>
      <w:r>
        <w:rPr>
          <w:rFonts w:hint="default" w:ascii="仿宋" w:hAnsi="仿宋" w:eastAsia="仿宋" w:cs="仿宋"/>
          <w:snapToGrid/>
          <w:color w:val="auto"/>
          <w:spacing w:val="0"/>
          <w:kern w:val="0"/>
          <w:position w:val="2"/>
          <w:sz w:val="28"/>
          <w:szCs w:val="28"/>
          <w:highlight w:val="none"/>
          <w:lang w:val="en-US" w:eastAsia="zh-CN" w:bidi="ar"/>
        </w:rPr>
        <w:t>核心岗位——</w:t>
      </w:r>
      <w:r>
        <w:rPr>
          <w:rFonts w:hint="default" w:ascii="仿宋" w:hAnsi="仿宋" w:eastAsia="仿宋" w:cs="仿宋"/>
          <w:snapToGrid/>
          <w:color w:val="auto"/>
          <w:spacing w:val="0"/>
          <w:kern w:val="0"/>
          <w:position w:val="2"/>
          <w:sz w:val="28"/>
          <w:szCs w:val="28"/>
          <w:highlight w:val="none"/>
          <w:lang w:eastAsia="zh-CN" w:bidi="ar"/>
        </w:rPr>
        <w:t>临床护理</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567"/>
        <w:jc w:val="both"/>
        <w:textAlignment w:val="baseline"/>
        <w:rPr>
          <w:rFonts w:hint="default" w:ascii="仿宋" w:hAnsi="仿宋" w:eastAsia="仿宋" w:cs="仿宋"/>
          <w:color w:val="auto"/>
          <w:spacing w:val="0"/>
          <w:kern w:val="0"/>
          <w:sz w:val="28"/>
          <w:szCs w:val="28"/>
          <w:highlight w:val="none"/>
          <w:lang w:eastAsia="zh-CN" w:bidi="ar"/>
        </w:rPr>
      </w:pPr>
      <w:r>
        <w:rPr>
          <w:rFonts w:hint="default" w:ascii="仿宋" w:hAnsi="仿宋" w:eastAsia="仿宋" w:cs="仿宋"/>
          <w:snapToGrid/>
          <w:color w:val="auto"/>
          <w:spacing w:val="0"/>
          <w:kern w:val="0"/>
          <w:sz w:val="28"/>
          <w:szCs w:val="28"/>
          <w:highlight w:val="none"/>
          <w:lang w:val="en-US" w:eastAsia="zh-CN" w:bidi="ar"/>
        </w:rPr>
        <w:t>主要面向基层综合性医院</w:t>
      </w:r>
      <w:r>
        <w:rPr>
          <w:rFonts w:hint="default" w:ascii="仿宋" w:hAnsi="仿宋" w:eastAsia="仿宋" w:cs="仿宋"/>
          <w:snapToGrid/>
          <w:color w:val="auto"/>
          <w:spacing w:val="0"/>
          <w:kern w:val="0"/>
          <w:sz w:val="28"/>
          <w:szCs w:val="28"/>
          <w:highlight w:val="none"/>
          <w:lang w:eastAsia="zh-CN" w:bidi="ar"/>
        </w:rPr>
        <w:t>、</w:t>
      </w:r>
      <w:r>
        <w:rPr>
          <w:rFonts w:hint="default" w:ascii="仿宋" w:hAnsi="仿宋" w:eastAsia="仿宋" w:cs="仿宋"/>
          <w:color w:val="auto"/>
          <w:spacing w:val="0"/>
          <w:kern w:val="0"/>
          <w:sz w:val="28"/>
          <w:szCs w:val="28"/>
          <w:highlight w:val="none"/>
          <w:lang w:val="en-US" w:eastAsia="zh-CN" w:bidi="ar"/>
        </w:rPr>
        <w:t>临终关怀医院</w:t>
      </w:r>
      <w:r>
        <w:rPr>
          <w:rFonts w:hint="default" w:ascii="仿宋" w:hAnsi="仿宋" w:eastAsia="仿宋" w:cs="仿宋"/>
          <w:color w:val="auto"/>
          <w:spacing w:val="0"/>
          <w:kern w:val="0"/>
          <w:sz w:val="28"/>
          <w:szCs w:val="28"/>
          <w:highlight w:val="none"/>
          <w:lang w:eastAsia="zh-CN" w:bidi="ar"/>
        </w:rPr>
        <w:t>、</w:t>
      </w:r>
      <w:r>
        <w:rPr>
          <w:rFonts w:hint="default" w:ascii="仿宋" w:hAnsi="仿宋" w:eastAsia="仿宋" w:cs="仿宋"/>
          <w:color w:val="auto"/>
          <w:spacing w:val="0"/>
          <w:kern w:val="0"/>
          <w:sz w:val="28"/>
          <w:szCs w:val="28"/>
          <w:highlight w:val="none"/>
          <w:lang w:val="en-US" w:eastAsia="zh-CN" w:bidi="ar"/>
        </w:rPr>
        <w:t>托幼机构、产后康复机构、医养结合机构、社区福利机构、康复保健机构</w:t>
      </w:r>
      <w:r>
        <w:rPr>
          <w:rFonts w:hint="default" w:ascii="仿宋" w:hAnsi="仿宋" w:eastAsia="仿宋" w:cs="仿宋"/>
          <w:color w:val="auto"/>
          <w:spacing w:val="0"/>
          <w:kern w:val="0"/>
          <w:sz w:val="28"/>
          <w:szCs w:val="28"/>
          <w:highlight w:val="none"/>
          <w:lang w:eastAsia="zh-CN" w:bidi="ar"/>
        </w:rPr>
        <w:t>。</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567"/>
        <w:jc w:val="both"/>
        <w:textAlignment w:val="baseline"/>
        <w:rPr>
          <w:rFonts w:hint="default" w:ascii="仿宋" w:hAnsi="仿宋" w:eastAsia="仿宋" w:cs="仿宋"/>
          <w:snapToGrid/>
          <w:color w:val="auto"/>
          <w:spacing w:val="0"/>
          <w:kern w:val="0"/>
          <w:sz w:val="28"/>
          <w:szCs w:val="28"/>
          <w:highlight w:val="none"/>
          <w:lang w:val="en-US" w:eastAsia="zh-CN" w:bidi="ar"/>
        </w:rPr>
      </w:pPr>
      <w:r>
        <w:rPr>
          <w:rFonts w:hint="default" w:ascii="仿宋" w:hAnsi="仿宋" w:eastAsia="仿宋" w:cs="仿宋"/>
          <w:snapToGrid/>
          <w:color w:val="auto"/>
          <w:spacing w:val="0"/>
          <w:kern w:val="0"/>
          <w:sz w:val="28"/>
          <w:szCs w:val="28"/>
          <w:highlight w:val="none"/>
          <w:lang w:val="en-US" w:eastAsia="zh-CN" w:bidi="ar"/>
        </w:rPr>
        <w:t>初始岗位：综合性</w:t>
      </w:r>
      <w:r>
        <w:rPr>
          <w:rFonts w:hint="default" w:ascii="仿宋" w:hAnsi="仿宋" w:eastAsia="仿宋" w:cs="仿宋"/>
          <w:snapToGrid/>
          <w:color w:val="auto"/>
          <w:spacing w:val="0"/>
          <w:kern w:val="0"/>
          <w:sz w:val="28"/>
          <w:szCs w:val="28"/>
          <w:highlight w:val="none"/>
          <w:lang w:eastAsia="zh-CN" w:bidi="ar"/>
        </w:rPr>
        <w:t>护理</w:t>
      </w:r>
      <w:r>
        <w:rPr>
          <w:rFonts w:hint="default" w:ascii="仿宋" w:hAnsi="仿宋" w:eastAsia="仿宋" w:cs="仿宋"/>
          <w:snapToGrid/>
          <w:color w:val="auto"/>
          <w:spacing w:val="0"/>
          <w:kern w:val="0"/>
          <w:sz w:val="28"/>
          <w:szCs w:val="28"/>
          <w:highlight w:val="none"/>
          <w:lang w:val="en-US" w:eastAsia="zh-CN" w:bidi="ar"/>
        </w:rPr>
        <w:t>工作岗位，本专业各个岗位方向毕业学生均可从事。</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567"/>
        <w:jc w:val="both"/>
        <w:textAlignment w:val="baseline"/>
        <w:rPr>
          <w:rFonts w:hint="default" w:ascii="仿宋" w:hAnsi="仿宋" w:eastAsia="仿宋" w:cs="仿宋"/>
          <w:snapToGrid/>
          <w:color w:val="auto"/>
          <w:spacing w:val="0"/>
          <w:kern w:val="0"/>
          <w:sz w:val="28"/>
          <w:szCs w:val="28"/>
          <w:highlight w:val="none"/>
          <w:lang w:val="en-US" w:eastAsia="zh-CN" w:bidi="ar"/>
        </w:rPr>
      </w:pPr>
      <w:r>
        <w:rPr>
          <w:rFonts w:hint="default" w:ascii="仿宋" w:hAnsi="仿宋" w:eastAsia="仿宋" w:cs="仿宋"/>
          <w:snapToGrid/>
          <w:color w:val="auto"/>
          <w:spacing w:val="0"/>
          <w:kern w:val="0"/>
          <w:sz w:val="28"/>
          <w:szCs w:val="28"/>
          <w:highlight w:val="none"/>
          <w:lang w:val="en-US" w:eastAsia="zh-CN" w:bidi="ar"/>
        </w:rPr>
        <w:t>发展岗位：</w:t>
      </w:r>
      <w:r>
        <w:rPr>
          <w:rFonts w:hint="default" w:ascii="仿宋" w:hAnsi="仿宋" w:eastAsia="仿宋" w:cs="仿宋"/>
          <w:snapToGrid/>
          <w:color w:val="auto"/>
          <w:spacing w:val="0"/>
          <w:kern w:val="0"/>
          <w:sz w:val="28"/>
          <w:szCs w:val="28"/>
          <w:highlight w:val="none"/>
          <w:lang w:eastAsia="zh-CN" w:bidi="ar"/>
        </w:rPr>
        <w:t>老年护理</w:t>
      </w:r>
      <w:r>
        <w:rPr>
          <w:rFonts w:hint="default" w:ascii="仿宋" w:hAnsi="仿宋" w:eastAsia="仿宋" w:cs="仿宋"/>
          <w:snapToGrid/>
          <w:color w:val="auto"/>
          <w:spacing w:val="0"/>
          <w:kern w:val="0"/>
          <w:sz w:val="28"/>
          <w:szCs w:val="28"/>
          <w:highlight w:val="none"/>
          <w:lang w:val="en-US" w:eastAsia="zh-CN" w:bidi="ar"/>
        </w:rPr>
        <w:t>工作岗位</w:t>
      </w:r>
      <w:r>
        <w:rPr>
          <w:rFonts w:hint="default" w:ascii="仿宋" w:hAnsi="仿宋" w:eastAsia="仿宋" w:cs="仿宋"/>
          <w:snapToGrid/>
          <w:color w:val="auto"/>
          <w:spacing w:val="0"/>
          <w:kern w:val="0"/>
          <w:sz w:val="28"/>
          <w:szCs w:val="28"/>
          <w:highlight w:val="none"/>
          <w:lang w:eastAsia="zh-CN" w:bidi="ar"/>
        </w:rPr>
        <w:t>、社区护理工作岗位、健康照护工作岗位。</w:t>
      </w:r>
      <w:r>
        <w:rPr>
          <w:rFonts w:hint="default" w:ascii="仿宋" w:hAnsi="仿宋" w:eastAsia="仿宋" w:cs="仿宋"/>
          <w:snapToGrid/>
          <w:color w:val="auto"/>
          <w:spacing w:val="0"/>
          <w:kern w:val="0"/>
          <w:sz w:val="28"/>
          <w:szCs w:val="28"/>
          <w:highlight w:val="none"/>
          <w:lang w:val="en-US" w:eastAsia="zh-CN" w:bidi="ar"/>
        </w:rPr>
        <w:t>各岗位方向的学生可分别到</w:t>
      </w:r>
      <w:r>
        <w:rPr>
          <w:rFonts w:hint="default" w:ascii="仿宋" w:hAnsi="仿宋" w:eastAsia="仿宋" w:cs="仿宋"/>
          <w:snapToGrid/>
          <w:color w:val="auto"/>
          <w:spacing w:val="0"/>
          <w:kern w:val="0"/>
          <w:sz w:val="28"/>
          <w:szCs w:val="28"/>
          <w:highlight w:val="none"/>
          <w:lang w:eastAsia="zh-CN" w:bidi="ar"/>
        </w:rPr>
        <w:t>护理院、养老院、福利院、康复医疗中心、安宁疗护中心、社区卫生服务机构、托幼机构、产后康复机构、医养结合机构、临终关怀院等</w:t>
      </w:r>
      <w:r>
        <w:rPr>
          <w:rFonts w:hint="default" w:ascii="仿宋" w:hAnsi="仿宋" w:eastAsia="仿宋" w:cs="仿宋"/>
          <w:snapToGrid/>
          <w:color w:val="auto"/>
          <w:spacing w:val="0"/>
          <w:kern w:val="0"/>
          <w:sz w:val="28"/>
          <w:szCs w:val="28"/>
          <w:highlight w:val="none"/>
          <w:lang w:val="en-US" w:eastAsia="zh-CN" w:bidi="ar"/>
        </w:rPr>
        <w:t>相应岗位工作。</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leftChars="0" w:right="0" w:firstLine="0" w:firstLineChars="0"/>
        <w:jc w:val="both"/>
        <w:textAlignment w:val="baseline"/>
        <w:rPr>
          <w:rFonts w:hint="default" w:ascii="仿宋" w:hAnsi="仿宋" w:eastAsia="仿宋" w:cs="仿宋"/>
          <w:color w:val="auto"/>
          <w:spacing w:val="0"/>
          <w:kern w:val="0"/>
          <w:sz w:val="28"/>
          <w:szCs w:val="28"/>
          <w:highlight w:val="none"/>
        </w:rPr>
      </w:pPr>
      <w:r>
        <w:rPr>
          <w:rFonts w:hint="default" w:ascii="仿宋" w:hAnsi="仿宋" w:eastAsia="仿宋" w:cs="仿宋"/>
          <w:snapToGrid/>
          <w:color w:val="auto"/>
          <w:spacing w:val="0"/>
          <w:kern w:val="0"/>
          <w:position w:val="2"/>
          <w:sz w:val="28"/>
          <w:szCs w:val="28"/>
          <w:highlight w:val="none"/>
          <w:lang w:eastAsia="zh-CN" w:bidi="ar"/>
        </w:rPr>
        <w:t xml:space="preserve">   （2）</w:t>
      </w:r>
      <w:r>
        <w:rPr>
          <w:rFonts w:hint="default" w:ascii="仿宋" w:hAnsi="仿宋" w:eastAsia="仿宋" w:cs="仿宋"/>
          <w:snapToGrid/>
          <w:color w:val="auto"/>
          <w:spacing w:val="0"/>
          <w:kern w:val="0"/>
          <w:position w:val="2"/>
          <w:sz w:val="28"/>
          <w:szCs w:val="28"/>
          <w:highlight w:val="none"/>
          <w:lang w:val="en-US" w:eastAsia="zh-CN" w:bidi="ar"/>
        </w:rPr>
        <w:t>相关工作岗位群</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firstLine="567"/>
        <w:jc w:val="both"/>
        <w:textAlignment w:val="baseline"/>
        <w:rPr>
          <w:rFonts w:hint="eastAsia" w:ascii="仿宋" w:hAnsi="仿宋" w:eastAsia="仿宋" w:cs="仿宋"/>
          <w:snapToGrid/>
          <w:color w:val="auto"/>
          <w:spacing w:val="0"/>
          <w:kern w:val="0"/>
          <w:sz w:val="28"/>
          <w:szCs w:val="28"/>
          <w:highlight w:val="none"/>
          <w:lang w:val="zh-TW" w:eastAsia="zh-CN" w:bidi="ar"/>
        </w:rPr>
      </w:pPr>
      <w:r>
        <w:rPr>
          <w:rFonts w:hint="default" w:ascii="仿宋" w:hAnsi="仿宋" w:eastAsia="仿宋" w:cs="仿宋"/>
          <w:snapToGrid/>
          <w:color w:val="auto"/>
          <w:spacing w:val="0"/>
          <w:kern w:val="0"/>
          <w:sz w:val="28"/>
          <w:szCs w:val="28"/>
          <w:highlight w:val="none"/>
          <w:lang w:val="en-US" w:eastAsia="zh-CN" w:bidi="ar"/>
        </w:rPr>
        <w:t>主要面向妇幼保健院、月子中心、幼儿园、中小学、社区机构、福利机构、养老机构、康复保健机构、健身中心、产后康复中心、医药公司等，从事育婴师、保健医、医药公司药品销售、卫生行政管理、护理服务人员等。</w:t>
      </w:r>
    </w:p>
    <w:p>
      <w:pPr>
        <w:pStyle w:val="4"/>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zh-TW" w:eastAsia="zh-CN" w:bidi="zh-TW"/>
        </w:rPr>
      </w:pPr>
      <w:r>
        <w:rPr>
          <w:rFonts w:hint="eastAsia" w:ascii="仿宋" w:hAnsi="仿宋" w:eastAsia="仿宋" w:cs="仿宋"/>
          <w:color w:val="auto"/>
          <w:spacing w:val="0"/>
          <w:kern w:val="0"/>
          <w:sz w:val="28"/>
          <w:szCs w:val="28"/>
          <w:highlight w:val="none"/>
          <w:lang w:val="en-US" w:eastAsia="zh-CN" w:bidi="zh-TW"/>
        </w:rPr>
        <w:t>表</w:t>
      </w:r>
      <w:r>
        <w:rPr>
          <w:rFonts w:hint="eastAsia" w:ascii="仿宋" w:hAnsi="仿宋" w:eastAsia="仿宋" w:cs="仿宋"/>
          <w:color w:val="auto"/>
          <w:spacing w:val="0"/>
          <w:kern w:val="0"/>
          <w:sz w:val="28"/>
          <w:szCs w:val="28"/>
          <w:highlight w:val="none"/>
          <w:lang w:val="zh-TW" w:eastAsia="zh-CN" w:bidi="zh-TW"/>
        </w:rPr>
        <w:t>1</w:t>
      </w:r>
      <w:r>
        <w:rPr>
          <w:rFonts w:hint="eastAsia" w:ascii="仿宋" w:hAnsi="仿宋" w:eastAsia="仿宋" w:cs="仿宋"/>
          <w:color w:val="auto"/>
          <w:spacing w:val="0"/>
          <w:kern w:val="0"/>
          <w:sz w:val="28"/>
          <w:szCs w:val="28"/>
          <w:highlight w:val="none"/>
          <w:lang w:val="en-US" w:eastAsia="zh-CN" w:bidi="zh-TW"/>
        </w:rPr>
        <w:t>.</w:t>
      </w:r>
      <w:r>
        <w:rPr>
          <w:rFonts w:hint="eastAsia" w:ascii="仿宋" w:hAnsi="仿宋" w:eastAsia="仿宋" w:cs="仿宋"/>
          <w:color w:val="auto"/>
          <w:spacing w:val="0"/>
          <w:kern w:val="0"/>
          <w:sz w:val="28"/>
          <w:szCs w:val="28"/>
          <w:highlight w:val="none"/>
          <w:lang w:val="zh-TW" w:eastAsia="zh-CN" w:bidi="zh-TW"/>
        </w:rPr>
        <w:t>职业面向</w:t>
      </w:r>
    </w:p>
    <w:tbl>
      <w:tblPr>
        <w:tblStyle w:val="8"/>
        <w:tblW w:w="10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934"/>
        <w:gridCol w:w="907"/>
        <w:gridCol w:w="2638"/>
        <w:gridCol w:w="1432"/>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exact"/>
          <w:jc w:val="center"/>
        </w:trPr>
        <w:tc>
          <w:tcPr>
            <w:tcW w:w="9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所属专业大类(代码)</w:t>
            </w:r>
          </w:p>
        </w:tc>
        <w:tc>
          <w:tcPr>
            <w:tcW w:w="93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所属专业类(代码)</w:t>
            </w:r>
          </w:p>
        </w:tc>
        <w:tc>
          <w:tcPr>
            <w:tcW w:w="90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对应行业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(代码)</w:t>
            </w:r>
          </w:p>
        </w:tc>
        <w:tc>
          <w:tcPr>
            <w:tcW w:w="263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主要职业类别</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(代码)</w:t>
            </w:r>
          </w:p>
        </w:tc>
        <w:tc>
          <w:tcPr>
            <w:tcW w:w="143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主要岗位类别(或技术领域)</w:t>
            </w:r>
          </w:p>
        </w:tc>
        <w:tc>
          <w:tcPr>
            <w:tcW w:w="317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职业资格证书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、职业技能等</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级证书和行业证书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4" w:hRule="exact"/>
          <w:jc w:val="center"/>
        </w:trPr>
        <w:tc>
          <w:tcPr>
            <w:tcW w:w="9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医药卫生大类</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w:t>
            </w:r>
          </w:p>
        </w:tc>
        <w:tc>
          <w:tcPr>
            <w:tcW w:w="93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护理类</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w:t>
            </w:r>
          </w:p>
        </w:tc>
        <w:tc>
          <w:tcPr>
            <w:tcW w:w="90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卫生</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(84)</w:t>
            </w:r>
          </w:p>
        </w:tc>
        <w:tc>
          <w:tcPr>
            <w:tcW w:w="2638"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内科护士(2-05-08-01)</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儿科护士(2-05-08-02)</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急诊护士(2-05-08-03)</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外科护士(2-05-08-04)</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社区护士(2-05-08-05)</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口腔科护士(2-05-08-07)</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妇产科护(2-05-08-08)</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中医护士(2-05-08-09）</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其他护理人(2-05-08-99)</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w:t>
            </w:r>
          </w:p>
        </w:tc>
        <w:tc>
          <w:tcPr>
            <w:tcW w:w="143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临床护理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健康照护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护理保健</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康复护理</w:t>
            </w:r>
          </w:p>
        </w:tc>
        <w:tc>
          <w:tcPr>
            <w:tcW w:w="317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执业资格证：护士执业资格证</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1+X证书：母婴护理、幼儿照护、产后恢复、老年照护、失智老人照护</w:t>
            </w:r>
            <w:r>
              <w:rPr>
                <w:rFonts w:hint="default" w:ascii="仿宋" w:hAnsi="仿宋" w:eastAsia="仿宋" w:cs="仿宋"/>
                <w:snapToGrid w:val="0"/>
                <w:color w:val="auto"/>
                <w:spacing w:val="0"/>
                <w:kern w:val="0"/>
                <w:sz w:val="21"/>
                <w:szCs w:val="21"/>
                <w:highlight w:val="none"/>
                <w:lang w:val="en-US" w:eastAsia="zh-CN"/>
              </w:rPr>
              <w:t>、</w:t>
            </w:r>
            <w:r>
              <w:rPr>
                <w:rFonts w:hint="default" w:ascii="仿宋" w:hAnsi="仿宋" w:eastAsia="仿宋" w:cs="仿宋"/>
                <w:snapToGrid w:val="0"/>
                <w:color w:val="auto"/>
                <w:spacing w:val="0"/>
                <w:kern w:val="0"/>
                <w:sz w:val="21"/>
                <w:szCs w:val="21"/>
                <w:highlight w:val="none"/>
                <w:lang w:val="en-US" w:eastAsia="zh-CN"/>
              </w:rPr>
              <w:t>老年护理服务需求评估、老年康体指导、老年慢病膳食调理、家庭保健按摩、体重管理、药品购销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职业技能证书：健康照护师、养老护理员、育婴员、营养师</w:t>
            </w:r>
          </w:p>
        </w:tc>
      </w:tr>
    </w:tbl>
    <w:p>
      <w:pPr>
        <w:keepNext w:val="0"/>
        <w:keepLines w:val="0"/>
        <w:pageBreakBefore w:val="0"/>
        <w:wordWrap/>
        <w:overflowPunct/>
        <w:topLinePunct w:val="0"/>
        <w:bidi w:val="0"/>
        <w:spacing w:line="440" w:lineRule="exact"/>
        <w:jc w:val="both"/>
        <w:rPr>
          <w:rFonts w:ascii="仿宋" w:hAnsi="仿宋" w:eastAsia="仿宋" w:cs="仿宋"/>
          <w:b/>
          <w:bCs/>
          <w:color w:val="auto"/>
          <w:spacing w:val="0"/>
          <w:highlight w:val="none"/>
        </w:rPr>
      </w:pPr>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 xml:space="preserve">四、培养目标与培养规格 </w:t>
      </w:r>
    </w:p>
    <w:p>
      <w:pPr>
        <w:pStyle w:val="4"/>
        <w:keepNext w:val="0"/>
        <w:keepLines w:val="0"/>
        <w:pageBreakBefore w:val="0"/>
        <w:wordWrap/>
        <w:overflowPunct/>
        <w:topLinePunct w:val="0"/>
        <w:bidi w:val="0"/>
        <w:spacing w:line="440" w:lineRule="exact"/>
        <w:ind w:firstLine="560" w:firstLineChars="200"/>
        <w:jc w:val="both"/>
        <w:rPr>
          <w:rFonts w:hint="eastAsia" w:ascii="楷体" w:hAnsi="楷体" w:eastAsia="楷体" w:cs="楷体"/>
          <w:b w:val="0"/>
          <w:bCs w:val="0"/>
          <w:color w:val="auto"/>
          <w:spacing w:val="0"/>
          <w:kern w:val="0"/>
          <w:sz w:val="28"/>
          <w:szCs w:val="28"/>
          <w:highlight w:val="none"/>
          <w:lang w:val="zh-TW" w:bidi="zh-TW"/>
        </w:rPr>
      </w:pPr>
      <w:bookmarkStart w:id="2" w:name="_Hlk98407396"/>
      <w:r>
        <w:rPr>
          <w:rFonts w:hint="eastAsia" w:ascii="楷体" w:hAnsi="楷体" w:eastAsia="楷体" w:cs="楷体"/>
          <w:b w:val="0"/>
          <w:bCs w:val="0"/>
          <w:color w:val="auto"/>
          <w:spacing w:val="0"/>
          <w:kern w:val="0"/>
          <w:sz w:val="28"/>
          <w:szCs w:val="28"/>
          <w:highlight w:val="none"/>
          <w:lang w:val="zh-TW" w:bidi="zh-TW"/>
        </w:rPr>
        <w:t>（一）培养目标</w:t>
      </w:r>
      <w:bookmarkEnd w:id="2"/>
      <w:r>
        <w:rPr>
          <w:rFonts w:hint="eastAsia" w:ascii="楷体" w:hAnsi="楷体" w:eastAsia="楷体" w:cs="楷体"/>
          <w:b w:val="0"/>
          <w:bCs w:val="0"/>
          <w:color w:val="auto"/>
          <w:spacing w:val="0"/>
          <w:kern w:val="0"/>
          <w:sz w:val="28"/>
          <w:szCs w:val="28"/>
          <w:highlight w:val="none"/>
          <w:lang w:val="zh-TW" w:bidi="zh-TW"/>
        </w:rPr>
        <w:t xml:space="preserve">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eastAsia="zh-CN"/>
        </w:rPr>
      </w:pPr>
      <w:r>
        <w:rPr>
          <w:rFonts w:hint="eastAsia" w:ascii="仿宋" w:hAnsi="仿宋" w:eastAsia="仿宋" w:cs="仿宋"/>
          <w:color w:val="auto"/>
          <w:spacing w:val="0"/>
          <w:kern w:val="0"/>
          <w:highlight w:val="none"/>
          <w:lang w:eastAsia="zh-CN"/>
        </w:rPr>
        <w:t>本专业培养理想信念坚定，德、智、体、美、劳全面发展，具有一定的科学文化水平，良好的人文素养、职业道德和创新意识以及救死扶伤的人道主义精神；掌握护理专业知识和技能，面向医疗卫生行业、健康保健等领域的临床护士、社区护士、老年照护、母婴护理</w:t>
      </w:r>
      <w:r>
        <w:rPr>
          <w:rFonts w:hint="default" w:ascii="仿宋" w:hAnsi="仿宋" w:eastAsia="仿宋" w:cs="仿宋"/>
          <w:color w:val="auto"/>
          <w:spacing w:val="0"/>
          <w:kern w:val="0"/>
          <w:highlight w:val="none"/>
          <w:lang w:eastAsia="zh-CN"/>
        </w:rPr>
        <w:t>、康复护理</w:t>
      </w:r>
      <w:r>
        <w:rPr>
          <w:rFonts w:hint="eastAsia" w:ascii="仿宋" w:hAnsi="仿宋" w:eastAsia="仿宋" w:cs="仿宋"/>
          <w:color w:val="auto"/>
          <w:spacing w:val="0"/>
          <w:kern w:val="0"/>
          <w:highlight w:val="none"/>
          <w:lang w:eastAsia="zh-CN"/>
        </w:rPr>
        <w:t>等护理岗位，能够从事临床护理、社区护理、老年护理</w:t>
      </w:r>
      <w:r>
        <w:rPr>
          <w:rFonts w:hint="default" w:ascii="仿宋" w:hAnsi="仿宋" w:eastAsia="仿宋" w:cs="仿宋"/>
          <w:color w:val="auto"/>
          <w:spacing w:val="0"/>
          <w:kern w:val="0"/>
          <w:highlight w:val="none"/>
          <w:lang w:eastAsia="zh-CN"/>
        </w:rPr>
        <w:t>、护理保健</w:t>
      </w:r>
      <w:r>
        <w:rPr>
          <w:rFonts w:hint="eastAsia" w:ascii="仿宋" w:hAnsi="仿宋" w:eastAsia="仿宋" w:cs="仿宋"/>
          <w:color w:val="auto"/>
          <w:spacing w:val="0"/>
          <w:kern w:val="0"/>
          <w:highlight w:val="none"/>
          <w:lang w:eastAsia="zh-CN"/>
        </w:rPr>
        <w:t xml:space="preserve">及健康照护等工作的高素质技术技能人才。 </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bCs/>
          <w:color w:val="auto"/>
          <w:spacing w:val="0"/>
          <w:kern w:val="0"/>
          <w:sz w:val="28"/>
          <w:szCs w:val="28"/>
          <w:highlight w:val="none"/>
          <w:lang w:val="zh-TW" w:bidi="zh-TW"/>
        </w:rPr>
      </w:pPr>
      <w:r>
        <w:rPr>
          <w:rFonts w:hint="eastAsia" w:ascii="楷体" w:hAnsi="楷体" w:eastAsia="楷体" w:cs="楷体"/>
          <w:b w:val="0"/>
          <w:bCs w:val="0"/>
          <w:color w:val="auto"/>
          <w:spacing w:val="0"/>
          <w:kern w:val="0"/>
          <w:sz w:val="28"/>
          <w:szCs w:val="28"/>
          <w:highlight w:val="none"/>
          <w:lang w:val="zh-TW" w:bidi="zh-TW"/>
        </w:rPr>
        <w:t>（二）培养规格</w:t>
      </w:r>
      <w:r>
        <w:rPr>
          <w:rFonts w:hint="eastAsia" w:ascii="楷体" w:hAnsi="楷体" w:eastAsia="楷体" w:cs="楷体"/>
          <w:b/>
          <w:bCs/>
          <w:color w:val="auto"/>
          <w:spacing w:val="0"/>
          <w:kern w:val="0"/>
          <w:sz w:val="28"/>
          <w:szCs w:val="28"/>
          <w:highlight w:val="none"/>
          <w:lang w:val="zh-TW" w:bidi="zh-TW"/>
        </w:rPr>
        <w:t xml:space="preserve">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1.素质目标</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（1）坚定拥护中国共产党领导和我国社会主义制度，在习近平新时代中国特色社会主义思想指引下，践行社会主义核心价值观，具有深厚的爱国情感和中华民族自豪感。</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（2）崇尚宪法、遵法守纪、崇德向善、诚实守信、尊重生命、热爱劳动，履行道德准则和行为规范，具有社会责任感和社会参与意识。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（3）热爱护理事业，具有良好的职业道德，遵守护理伦理与法律法规，遵重护理对象的人格，保护护理对象的隐私。</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（4）坚持优质护理，具有质量意识、环保意识、安全意识、信息素养、创新思维、工匠精神。</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（5）勇于奋斗、乐观向上，具有自我管理能力、职业生涯规划的意识，有较强的集体意识和团队合作精神。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（6）具有从事护理工作的健康体魄、心理和健全的人格，掌握基本运动识和一两项运动技能，养成良好的健身与卫生习惯，良好的行为习惯。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（7）具有一定的审美和人文素养，能够形成一两项艺术特长或爱好。</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2.知识目标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（1）理解必备的思想政治理论、科学文化基础知识和中华优秀传统文化知识。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bookmarkStart w:id="3" w:name="_Hlk98323422"/>
      <w:r>
        <w:rPr>
          <w:rFonts w:hint="eastAsia" w:ascii="仿宋" w:hAnsi="仿宋" w:eastAsia="仿宋" w:cs="仿宋"/>
          <w:color w:val="auto"/>
          <w:spacing w:val="0"/>
          <w:kern w:val="0"/>
          <w:highlight w:val="none"/>
          <w:lang w:val="en-US" w:eastAsia="zh-CN"/>
        </w:rPr>
        <w:t>（2）</w:t>
      </w:r>
      <w:bookmarkEnd w:id="3"/>
      <w:r>
        <w:rPr>
          <w:rFonts w:hint="eastAsia" w:ascii="仿宋" w:hAnsi="仿宋" w:eastAsia="仿宋" w:cs="仿宋"/>
          <w:color w:val="auto"/>
          <w:spacing w:val="0"/>
          <w:kern w:val="0"/>
          <w:highlight w:val="none"/>
          <w:lang w:val="en-US" w:eastAsia="zh-CN"/>
        </w:rPr>
        <w:t>熟悉与本专业相关的法律法规以及环境保护、医疗安全等相关知识。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（3）掌握护理基本理论和基本知识，以及必备的基础医学和临床医学知识。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（4）掌握</w:t>
      </w:r>
      <w:bookmarkStart w:id="4" w:name="_Hlk67003397"/>
      <w:r>
        <w:rPr>
          <w:rFonts w:hint="eastAsia" w:ascii="仿宋" w:hAnsi="仿宋" w:eastAsia="仿宋" w:cs="仿宋"/>
          <w:color w:val="auto"/>
          <w:spacing w:val="0"/>
          <w:kern w:val="0"/>
          <w:highlight w:val="none"/>
          <w:lang w:val="en-US" w:eastAsia="zh-CN"/>
        </w:rPr>
        <w:t>母婴、幼儿、成人、老年人</w:t>
      </w:r>
      <w:bookmarkEnd w:id="4"/>
      <w:r>
        <w:rPr>
          <w:rFonts w:hint="eastAsia" w:ascii="仿宋" w:hAnsi="仿宋" w:eastAsia="仿宋" w:cs="仿宋"/>
          <w:color w:val="auto"/>
          <w:spacing w:val="0"/>
          <w:kern w:val="0"/>
          <w:highlight w:val="none"/>
          <w:lang w:val="en-US" w:eastAsia="zh-CN"/>
        </w:rPr>
        <w:t>常见疾病的病因、发病机理、健康史、身心状况、辅助检查、治疗原则、护理诊断、护理措施、护理教育、健康照护、职业防护及护理评价等相关知识。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（5）学会社区传染病的流行及传播的基本条件，具备常见传染病的防治理解以及突发公共卫生事件应对知识。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（6）</w:t>
      </w:r>
      <w:r>
        <w:rPr>
          <w:rFonts w:hint="default" w:ascii="仿宋" w:hAnsi="仿宋" w:eastAsia="仿宋" w:cs="仿宋"/>
          <w:color w:val="auto"/>
          <w:spacing w:val="0"/>
          <w:kern w:val="0"/>
          <w:highlight w:val="none"/>
          <w:lang w:eastAsia="zh-CN"/>
        </w:rPr>
        <w:t>掌握老年护理、社区护理、</w:t>
      </w:r>
      <w:r>
        <w:rPr>
          <w:rFonts w:hint="eastAsia" w:ascii="仿宋" w:hAnsi="仿宋" w:eastAsia="仿宋" w:cs="仿宋"/>
          <w:color w:val="auto"/>
          <w:spacing w:val="0"/>
          <w:kern w:val="0"/>
          <w:highlight w:val="none"/>
          <w:lang w:val="en-US" w:eastAsia="zh-CN"/>
        </w:rPr>
        <w:t>精神科护理等专科护理知识。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（7）具备急危重症护理相关知识，了解国际灾难护理标准和实施方法。</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（8）学会护理管理基本知识，了解现代护理发展动态及前言知识。</w:t>
      </w:r>
    </w:p>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（9）通过护理专业顶岗实习，了解医疗卫生服务机构的运作、组织架构、规章制度和医疗护理文化。</w:t>
      </w:r>
    </w:p>
    <w:p>
      <w:pPr>
        <w:pStyle w:val="11"/>
        <w:keepNext w:val="0"/>
        <w:keepLines w:val="0"/>
        <w:pageBreakBefore w:val="0"/>
        <w:wordWrap/>
        <w:overflowPunct/>
        <w:topLinePunct w:val="0"/>
        <w:bidi w:val="0"/>
        <w:spacing w:line="440" w:lineRule="exact"/>
        <w:ind w:firstLine="618"/>
        <w:jc w:val="both"/>
        <w:rPr>
          <w:rFonts w:hint="default" w:ascii="仿宋" w:hAnsi="仿宋" w:eastAsia="仿宋" w:cs="仿宋"/>
          <w:color w:val="auto"/>
          <w:spacing w:val="0"/>
          <w:kern w:val="0"/>
          <w:highlight w:val="none"/>
          <w:lang w:eastAsia="zh-CN"/>
        </w:rPr>
      </w:pPr>
      <w:r>
        <w:rPr>
          <w:rFonts w:hint="default" w:ascii="仿宋" w:hAnsi="仿宋" w:eastAsia="仿宋" w:cs="仿宋"/>
          <w:color w:val="auto"/>
          <w:spacing w:val="0"/>
          <w:kern w:val="0"/>
          <w:highlight w:val="none"/>
          <w:lang w:eastAsia="zh-CN"/>
        </w:rPr>
        <w:t>（10）掌握生命各阶段各系统常见疾病的护理教育及健康促进相关知识。</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3.能力目标</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（1）具备良好的口语表达和书面写作能力，能与患者进行有效沟通；要有解决实际问题、独立思考、逻辑推理等通用能力。</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（2）具备本专业必需的信息技术应用和维护能力。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（3）具有探究学习和终身学习的能力。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（4）具备对服务对象实施整体护理的能力，具有正确实施基础护理技术和专科护理技术的操作能力。</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（5）具有对急危重症病人的初步处理能力和配合抢救能力。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（6）具有社区卫生服务的基本技能、开展健康教育和卫生保健指导的能力。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（7）具有对常见药物的疗效和不良反应的观察、处理和护理能力。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（8）具有完整记录护理过程的能力。</w:t>
      </w:r>
    </w:p>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（9）具有一定的护理管理能力。</w:t>
      </w:r>
    </w:p>
    <w:p>
      <w:pPr>
        <w:pStyle w:val="11"/>
        <w:keepNext w:val="0"/>
        <w:keepLines w:val="0"/>
        <w:pageBreakBefore w:val="0"/>
        <w:wordWrap/>
        <w:overflowPunct/>
        <w:topLinePunct w:val="0"/>
        <w:bidi w:val="0"/>
        <w:spacing w:line="440" w:lineRule="exact"/>
        <w:ind w:firstLine="618"/>
        <w:jc w:val="both"/>
        <w:rPr>
          <w:rFonts w:hint="default" w:ascii="仿宋" w:hAnsi="仿宋" w:eastAsia="仿宋" w:cs="仿宋"/>
          <w:color w:val="auto"/>
          <w:spacing w:val="0"/>
          <w:kern w:val="0"/>
          <w:highlight w:val="none"/>
          <w:lang w:eastAsia="zh-CN"/>
        </w:rPr>
      </w:pPr>
      <w:r>
        <w:rPr>
          <w:rFonts w:hint="default" w:ascii="仿宋" w:hAnsi="仿宋" w:eastAsia="仿宋" w:cs="仿宋"/>
          <w:color w:val="auto"/>
          <w:spacing w:val="0"/>
          <w:kern w:val="0"/>
          <w:highlight w:val="none"/>
          <w:lang w:eastAsia="zh-CN"/>
        </w:rPr>
        <w:t>（10）具有对老年人日常疾病的健康保健和日常教育进行指导，独立完成老年人护理工作的能力。</w:t>
      </w:r>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五、课程设置及要求</w:t>
      </w:r>
      <w:bookmarkStart w:id="5" w:name="_Toc9500"/>
      <w:bookmarkStart w:id="6" w:name="_Toc9515"/>
    </w:p>
    <w:p>
      <w:pPr>
        <w:keepNext w:val="0"/>
        <w:keepLines w:val="0"/>
        <w:pageBreakBefore w:val="0"/>
        <w:wordWrap/>
        <w:overflowPunct/>
        <w:topLinePunct w:val="0"/>
        <w:bidi w:val="0"/>
        <w:spacing w:line="440" w:lineRule="exact"/>
        <w:ind w:firstLine="280" w:firstLineChars="100"/>
        <w:jc w:val="both"/>
        <w:rPr>
          <w:rFonts w:hint="eastAsia" w:ascii="楷体" w:hAnsi="楷体" w:eastAsia="楷体" w:cs="楷体"/>
          <w:b w:val="0"/>
          <w:bCs w:val="0"/>
          <w:color w:val="auto"/>
          <w:spacing w:val="0"/>
          <w:kern w:val="0"/>
          <w:sz w:val="28"/>
          <w:szCs w:val="28"/>
          <w:highlight w:val="none"/>
          <w:lang w:val="zh-TW" w:eastAsia="zh-CN" w:bidi="zh-TW"/>
        </w:rPr>
      </w:pPr>
      <w:r>
        <w:rPr>
          <w:rFonts w:hint="eastAsia" w:ascii="楷体" w:hAnsi="楷体" w:eastAsia="楷体" w:cs="楷体"/>
          <w:b w:val="0"/>
          <w:bCs w:val="0"/>
          <w:color w:val="auto"/>
          <w:spacing w:val="0"/>
          <w:kern w:val="0"/>
          <w:sz w:val="28"/>
          <w:szCs w:val="28"/>
          <w:highlight w:val="none"/>
          <w:lang w:val="zh-TW" w:eastAsia="zh-CN" w:bidi="zh-TW"/>
        </w:rPr>
        <w:t>（一）课程</w:t>
      </w:r>
      <w:bookmarkEnd w:id="5"/>
      <w:bookmarkEnd w:id="6"/>
      <w:r>
        <w:rPr>
          <w:rFonts w:hint="eastAsia" w:ascii="楷体" w:hAnsi="楷体" w:eastAsia="楷体" w:cs="楷体"/>
          <w:b w:val="0"/>
          <w:bCs w:val="0"/>
          <w:color w:val="auto"/>
          <w:spacing w:val="0"/>
          <w:kern w:val="0"/>
          <w:sz w:val="28"/>
          <w:szCs w:val="28"/>
          <w:highlight w:val="none"/>
          <w:lang w:val="zh-TW" w:eastAsia="zh-CN" w:bidi="zh-TW"/>
        </w:rPr>
        <w:t>设置</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eastAsia="zh-CN"/>
        </w:rPr>
        <w:t>1.对接岗位需求。</w:t>
      </w:r>
      <w:r>
        <w:rPr>
          <w:rFonts w:hint="eastAsia" w:ascii="仿宋" w:hAnsi="仿宋" w:eastAsia="仿宋" w:cs="仿宋"/>
          <w:color w:val="auto"/>
          <w:spacing w:val="0"/>
          <w:kern w:val="0"/>
          <w:highlight w:val="none"/>
          <w:lang w:val="en-US" w:eastAsia="zh-CN"/>
        </w:rPr>
        <w:t>通过护理专业人才需求调研，对标护理专业职业岗位，分析职业能力要求，对应职业能力课程，构建“岗课证能”融合培养育人模式，相关职业技能等级证书(见表2)。</w:t>
      </w:r>
    </w:p>
    <w:p>
      <w:pPr>
        <w:keepNext w:val="0"/>
        <w:keepLines w:val="0"/>
        <w:pageBreakBefore w:val="0"/>
        <w:widowControl/>
        <w:wordWrap/>
        <w:overflowPunct/>
        <w:topLinePunct w:val="0"/>
        <w:bidi w:val="0"/>
        <w:snapToGrid w:val="0"/>
        <w:spacing w:line="440" w:lineRule="exact"/>
        <w:jc w:val="both"/>
        <w:rPr>
          <w:rFonts w:ascii="仿宋" w:hAnsi="仿宋" w:eastAsia="仿宋" w:cs="仿宋"/>
          <w:b w:val="0"/>
          <w:bCs/>
          <w:color w:val="auto"/>
          <w:spacing w:val="0"/>
          <w:kern w:val="0"/>
          <w:sz w:val="21"/>
          <w:szCs w:val="21"/>
          <w:highlight w:val="none"/>
        </w:rPr>
      </w:pPr>
      <w:r>
        <w:rPr>
          <w:rFonts w:hint="eastAsia" w:ascii="仿宋" w:hAnsi="仿宋" w:eastAsia="仿宋" w:cs="仿宋"/>
          <w:b w:val="0"/>
          <w:bCs/>
          <w:color w:val="auto"/>
          <w:spacing w:val="0"/>
          <w:kern w:val="0"/>
          <w:sz w:val="21"/>
          <w:szCs w:val="21"/>
          <w:highlight w:val="none"/>
        </w:rPr>
        <w:t>表2</w:t>
      </w:r>
      <w:r>
        <w:rPr>
          <w:rFonts w:hint="eastAsia" w:ascii="仿宋" w:hAnsi="仿宋" w:eastAsia="仿宋" w:cs="仿宋"/>
          <w:b w:val="0"/>
          <w:bCs/>
          <w:color w:val="auto"/>
          <w:spacing w:val="0"/>
          <w:kern w:val="0"/>
          <w:sz w:val="21"/>
          <w:szCs w:val="21"/>
          <w:highlight w:val="none"/>
          <w:lang w:val="en-US" w:eastAsia="zh-CN"/>
        </w:rPr>
        <w:t>.</w:t>
      </w:r>
      <w:r>
        <w:rPr>
          <w:rFonts w:hint="eastAsia" w:ascii="仿宋" w:hAnsi="仿宋" w:eastAsia="仿宋" w:cs="仿宋"/>
          <w:b w:val="0"/>
          <w:bCs/>
          <w:color w:val="auto"/>
          <w:spacing w:val="0"/>
          <w:kern w:val="0"/>
          <w:sz w:val="21"/>
          <w:szCs w:val="21"/>
          <w:highlight w:val="none"/>
        </w:rPr>
        <w:t>职业岗位与课程设置</w:t>
      </w:r>
    </w:p>
    <w:tbl>
      <w:tblPr>
        <w:tblStyle w:val="8"/>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851"/>
        <w:gridCol w:w="1735"/>
        <w:gridCol w:w="1157"/>
        <w:gridCol w:w="71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6"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岗位</w:t>
            </w:r>
          </w:p>
        </w:tc>
        <w:tc>
          <w:tcPr>
            <w:tcW w:w="2851"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职业能力要求</w:t>
            </w:r>
          </w:p>
        </w:tc>
        <w:tc>
          <w:tcPr>
            <w:tcW w:w="1735"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对应职业能力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w:t>
            </w:r>
          </w:p>
        </w:tc>
        <w:tc>
          <w:tcPr>
            <w:tcW w:w="2953" w:type="dxa"/>
            <w:gridSpan w:val="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所需职业技能等级证书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名称</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等级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6"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临床护士</w:t>
            </w:r>
          </w:p>
        </w:tc>
        <w:tc>
          <w:tcPr>
            <w:tcW w:w="2851"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1.健康资料的收集和分析能力；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2.对病人进行疾病护理及心理护理的能力；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3.对病人及家属进行健康教育的能力；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4.具有护理与医学相关的基本知识和技能，按照护理工作程序，解决护理问题，评价护理结果；</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5.掌握常用护理技术，能正确进行日常护理操作及护理特定操作；</w:t>
            </w:r>
          </w:p>
        </w:tc>
        <w:tc>
          <w:tcPr>
            <w:tcW w:w="1735"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妇产科护理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中医护理技术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传染病护理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护理管理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护理礼仪与人际沟通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护理伦理与法律法规</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生理学、病理学与病理生理学、护用药理学、人体解剖学、组织胚胎学、医学免疫与病原微生物学、护理心理学、护理学导论、医用化学、社区护理学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护士执业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资格证</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准入</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国家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母婴护理</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产后恢复</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老年护理服务需求评估</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老年慢病膳食调理</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老年康体指导</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老年照护</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86"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社区护士</w:t>
            </w:r>
          </w:p>
        </w:tc>
        <w:tc>
          <w:tcPr>
            <w:tcW w:w="2851"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1.计生政策宣教能力；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2.社区健康调查能力；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3.对孕产妇、婴幼儿生长发育监测、健康保健和指导；</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4.社区健康指导和康复护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5.家庭访视与家庭护理、新农合医疗卫生保健工作</w:t>
            </w:r>
          </w:p>
        </w:tc>
        <w:tc>
          <w:tcPr>
            <w:tcW w:w="1735"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临床护士岗所需课程+</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幼儿照护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护理保健</w:t>
            </w: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护士执业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资格证</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准入</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国家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家庭保健按摩</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体重管理</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母婴护理</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幼儿照护</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86"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产后恢复</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86"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养老护理</w:t>
            </w:r>
          </w:p>
        </w:tc>
        <w:tc>
          <w:tcPr>
            <w:tcW w:w="2851"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1.老年人健康评估能力、健康教育与健康管理能力；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2.老年生活护理、心理护理能力、疾病护理能力；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3.老年康复与保健能力；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4.老年休闲活动组织与策划能力；</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5.老人临终关怀护理</w:t>
            </w:r>
          </w:p>
        </w:tc>
        <w:tc>
          <w:tcPr>
            <w:tcW w:w="1735" w:type="dxa"/>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临床护士所需课程+</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失智老年人照护</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护理保健</w:t>
            </w: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护士执业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资格证</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准入</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国家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老年照护</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失智老人</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照护</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老年护理服务需求评估</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老年康体指导</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老年慢病膳食调理</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86"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851"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735" w:type="dxa"/>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57"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健康照护</w:t>
            </w:r>
          </w:p>
        </w:tc>
        <w:tc>
          <w:tcPr>
            <w:tcW w:w="71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8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人社厅</w:t>
            </w:r>
          </w:p>
        </w:tc>
      </w:tr>
    </w:tbl>
    <w:p>
      <w:pPr>
        <w:keepNext w:val="0"/>
        <w:keepLines w:val="0"/>
        <w:pageBreakBefore w:val="0"/>
        <w:wordWrap/>
        <w:overflowPunct/>
        <w:topLinePunct w:val="0"/>
        <w:bidi w:val="0"/>
        <w:snapToGrid w:val="0"/>
        <w:spacing w:line="440" w:lineRule="exact"/>
        <w:jc w:val="both"/>
        <w:rPr>
          <w:rFonts w:ascii="仿宋" w:hAnsi="仿宋" w:eastAsia="仿宋" w:cs="仿宋"/>
          <w:color w:val="auto"/>
          <w:spacing w:val="0"/>
          <w:kern w:val="0"/>
          <w:sz w:val="24"/>
          <w:highlight w:val="none"/>
        </w:rPr>
      </w:pP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rPr>
      </w:pPr>
      <w:r>
        <w:rPr>
          <w:rFonts w:hint="eastAsia" w:ascii="仿宋" w:hAnsi="仿宋" w:eastAsia="仿宋" w:cs="仿宋"/>
          <w:color w:val="auto"/>
          <w:spacing w:val="0"/>
          <w:kern w:val="0"/>
          <w:highlight w:val="none"/>
          <w:lang w:val="en-US" w:eastAsia="zh-CN"/>
        </w:rPr>
        <w:t>2.</w:t>
      </w:r>
      <w:r>
        <w:rPr>
          <w:rFonts w:hint="eastAsia" w:ascii="仿宋" w:hAnsi="仿宋" w:eastAsia="仿宋" w:cs="仿宋"/>
          <w:color w:val="auto"/>
          <w:spacing w:val="0"/>
          <w:kern w:val="0"/>
          <w:highlight w:val="none"/>
        </w:rPr>
        <w:t>对接典型工作任务</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基于职业面向和工作过程，分析护理专业岗位典型工作任务，确定与之对应的课程（见表3）。</w:t>
      </w:r>
    </w:p>
    <w:p>
      <w:pPr>
        <w:keepNext w:val="0"/>
        <w:keepLines w:val="0"/>
        <w:pageBreakBefore w:val="0"/>
        <w:widowControl/>
        <w:wordWrap/>
        <w:overflowPunct/>
        <w:topLinePunct w:val="0"/>
        <w:bidi w:val="0"/>
        <w:snapToGrid w:val="0"/>
        <w:spacing w:line="440" w:lineRule="exact"/>
        <w:jc w:val="both"/>
        <w:rPr>
          <w:rFonts w:ascii="仿宋" w:hAnsi="仿宋" w:eastAsia="仿宋" w:cs="仿宋"/>
          <w:b/>
          <w:color w:val="auto"/>
          <w:spacing w:val="0"/>
          <w:kern w:val="0"/>
          <w:sz w:val="21"/>
          <w:szCs w:val="21"/>
          <w:highlight w:val="none"/>
        </w:rPr>
      </w:pPr>
      <w:r>
        <w:rPr>
          <w:rFonts w:hint="eastAsia" w:ascii="仿宋" w:hAnsi="仿宋" w:eastAsia="仿宋" w:cs="仿宋"/>
          <w:b w:val="0"/>
          <w:bCs/>
          <w:color w:val="auto"/>
          <w:spacing w:val="0"/>
          <w:kern w:val="0"/>
          <w:sz w:val="21"/>
          <w:szCs w:val="21"/>
          <w:highlight w:val="none"/>
        </w:rPr>
        <w:t>表3</w:t>
      </w:r>
      <w:r>
        <w:rPr>
          <w:rFonts w:hint="eastAsia" w:ascii="仿宋" w:hAnsi="仿宋" w:eastAsia="仿宋" w:cs="仿宋"/>
          <w:b w:val="0"/>
          <w:bCs/>
          <w:color w:val="auto"/>
          <w:spacing w:val="0"/>
          <w:kern w:val="0"/>
          <w:sz w:val="21"/>
          <w:szCs w:val="21"/>
          <w:highlight w:val="none"/>
          <w:lang w:val="en-US" w:eastAsia="zh-CN"/>
        </w:rPr>
        <w:t>.</w:t>
      </w:r>
      <w:r>
        <w:rPr>
          <w:rFonts w:hint="eastAsia" w:ascii="仿宋" w:hAnsi="仿宋" w:eastAsia="仿宋" w:cs="仿宋"/>
          <w:b w:val="0"/>
          <w:bCs/>
          <w:color w:val="auto"/>
          <w:spacing w:val="0"/>
          <w:kern w:val="0"/>
          <w:sz w:val="21"/>
          <w:szCs w:val="21"/>
          <w:highlight w:val="none"/>
        </w:rPr>
        <w:t>护理典型工作任务与课程设置</w:t>
      </w:r>
    </w:p>
    <w:tbl>
      <w:tblPr>
        <w:tblStyle w:val="1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776"/>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序号</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典型工作任务</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职业认知</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护理学导</w:t>
            </w:r>
            <w:r>
              <w:rPr>
                <w:rFonts w:hint="default" w:ascii="仿宋" w:hAnsi="仿宋" w:eastAsia="仿宋" w:cs="仿宋"/>
                <w:snapToGrid w:val="0"/>
                <w:color w:val="auto"/>
                <w:spacing w:val="0"/>
                <w:kern w:val="0"/>
                <w:sz w:val="21"/>
                <w:szCs w:val="21"/>
                <w:highlight w:val="none"/>
                <w:lang w:val="en-US" w:eastAsia="zh-CN"/>
              </w:rPr>
              <w:t>论、</w:t>
            </w:r>
            <w:r>
              <w:rPr>
                <w:rFonts w:hint="eastAsia" w:ascii="仿宋" w:hAnsi="仿宋" w:eastAsia="仿宋" w:cs="仿宋"/>
                <w:snapToGrid w:val="0"/>
                <w:color w:val="auto"/>
                <w:spacing w:val="0"/>
                <w:kern w:val="0"/>
                <w:sz w:val="21"/>
                <w:szCs w:val="21"/>
                <w:highlight w:val="none"/>
                <w:lang w:val="en-US" w:eastAsia="zh-CN"/>
              </w:rPr>
              <w:t>护理礼仪与人际沟通</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护理伦理与法律</w:t>
            </w:r>
            <w:r>
              <w:rPr>
                <w:rFonts w:hint="default" w:ascii="仿宋" w:hAnsi="仿宋" w:eastAsia="仿宋" w:cs="仿宋"/>
                <w:snapToGrid w:val="0"/>
                <w:color w:val="auto"/>
                <w:spacing w:val="0"/>
                <w:kern w:val="0"/>
                <w:sz w:val="21"/>
                <w:szCs w:val="21"/>
                <w:highlight w:val="none"/>
                <w:lang w:val="en-US" w:eastAsia="zh-CN"/>
              </w:rPr>
              <w:t>法规、护理管理</w:t>
            </w:r>
            <w:r>
              <w:rPr>
                <w:rFonts w:hint="eastAsia" w:ascii="仿宋" w:hAnsi="仿宋" w:eastAsia="仿宋" w:cs="仿宋"/>
                <w:snapToGrid w:val="0"/>
                <w:color w:val="auto"/>
                <w:spacing w:val="0"/>
                <w:kern w:val="0"/>
                <w:sz w:val="21"/>
                <w:szCs w:val="21"/>
                <w:highlight w:val="none"/>
                <w:lang w:val="en-US" w:eastAsia="zh-CN"/>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入院评估及护理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护理学基础、健康评估、人体解剖学、生理学、</w:t>
            </w:r>
            <w:r>
              <w:rPr>
                <w:rFonts w:hint="eastAsia" w:ascii="仿宋" w:hAnsi="仿宋" w:eastAsia="仿宋" w:cs="仿宋"/>
                <w:color w:val="auto"/>
                <w:kern w:val="0"/>
                <w:sz w:val="20"/>
                <w:szCs w:val="20"/>
                <w:highlight w:val="none"/>
              </w:rPr>
              <w:t>病理学与病理生理学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各专科疾病护理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人体解剖学、生理学、</w:t>
            </w:r>
            <w:r>
              <w:rPr>
                <w:rFonts w:hint="default" w:ascii="仿宋" w:hAnsi="仿宋" w:eastAsia="仿宋" w:cs="仿宋"/>
                <w:snapToGrid w:val="0"/>
                <w:color w:val="auto"/>
                <w:spacing w:val="0"/>
                <w:kern w:val="0"/>
                <w:sz w:val="21"/>
                <w:szCs w:val="21"/>
                <w:highlight w:val="none"/>
                <w:lang w:val="en-US" w:eastAsia="zh-CN"/>
              </w:rPr>
              <w:t>医用</w:t>
            </w:r>
            <w:r>
              <w:rPr>
                <w:rFonts w:hint="eastAsia" w:ascii="仿宋" w:hAnsi="仿宋" w:eastAsia="仿宋" w:cs="仿宋"/>
                <w:snapToGrid w:val="0"/>
                <w:color w:val="auto"/>
                <w:spacing w:val="0"/>
                <w:kern w:val="0"/>
                <w:sz w:val="21"/>
                <w:szCs w:val="21"/>
                <w:highlight w:val="none"/>
                <w:lang w:val="en-US" w:eastAsia="zh-CN"/>
              </w:rPr>
              <w:t>化学、病理学与病理生理学、护用药理学、</w:t>
            </w:r>
            <w:r>
              <w:rPr>
                <w:rFonts w:hint="eastAsia" w:ascii="仿宋" w:hAnsi="仿宋" w:eastAsia="仿宋" w:cs="仿宋"/>
                <w:snapToGrid w:val="0"/>
                <w:color w:val="auto"/>
                <w:spacing w:val="0"/>
                <w:kern w:val="0"/>
                <w:sz w:val="21"/>
                <w:szCs w:val="21"/>
                <w:highlight w:val="none"/>
                <w:lang w:val="en-US" w:eastAsia="zh-CN"/>
              </w:rPr>
              <w:t>病原微生物与免疫学</w:t>
            </w:r>
            <w:r>
              <w:rPr>
                <w:rFonts w:hint="eastAsia" w:ascii="仿宋" w:hAnsi="仿宋" w:eastAsia="仿宋" w:cs="仿宋"/>
                <w:snapToGrid w:val="0"/>
                <w:color w:val="auto"/>
                <w:spacing w:val="0"/>
                <w:kern w:val="0"/>
                <w:sz w:val="21"/>
                <w:szCs w:val="21"/>
                <w:highlight w:val="none"/>
                <w:lang w:val="en-US" w:eastAsia="zh-CN"/>
              </w:rPr>
              <w:t>、健康评估、护理学基础、内科护理、外科护理、妇产科护理、儿科护理、老年护理、急危重症护理、传染病护理、精神病护理、中医护理技术、护理心理学</w:t>
            </w:r>
            <w:r>
              <w:rPr>
                <w:rFonts w:hint="default" w:ascii="仿宋" w:hAnsi="仿宋" w:eastAsia="仿宋" w:cs="仿宋"/>
                <w:snapToGrid w:val="0"/>
                <w:color w:val="auto"/>
                <w:spacing w:val="0"/>
                <w:kern w:val="0"/>
                <w:sz w:val="21"/>
                <w:szCs w:val="21"/>
                <w:highlight w:val="none"/>
                <w:lang w:val="en-US" w:eastAsia="zh-CN"/>
              </w:rPr>
              <w:t>、</w:t>
            </w:r>
            <w:r>
              <w:rPr>
                <w:rFonts w:hint="default" w:ascii="仿宋" w:hAnsi="仿宋" w:eastAsia="仿宋" w:cs="仿宋"/>
                <w:snapToGrid w:val="0"/>
                <w:color w:val="auto"/>
                <w:spacing w:val="0"/>
                <w:kern w:val="0"/>
                <w:sz w:val="21"/>
                <w:szCs w:val="21"/>
                <w:highlight w:val="none"/>
                <w:lang w:val="en-US" w:eastAsia="zh-CN"/>
              </w:rPr>
              <w:t>社区护理、</w:t>
            </w:r>
            <w:r>
              <w:rPr>
                <w:rFonts w:hint="eastAsia" w:ascii="仿宋" w:hAnsi="仿宋" w:eastAsia="仿宋" w:cs="仿宋"/>
                <w:snapToGrid w:val="0"/>
                <w:color w:val="auto"/>
                <w:spacing w:val="0"/>
                <w:kern w:val="0"/>
                <w:sz w:val="21"/>
                <w:szCs w:val="21"/>
                <w:highlight w:val="none"/>
                <w:lang w:val="en-US" w:eastAsia="zh-CN"/>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医院感染防控</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病原微生物与免疫学、</w:t>
            </w:r>
            <w:r>
              <w:rPr>
                <w:rFonts w:hint="eastAsia" w:ascii="仿宋" w:hAnsi="仿宋" w:eastAsia="仿宋" w:cs="仿宋"/>
                <w:snapToGrid w:val="0"/>
                <w:color w:val="auto"/>
                <w:spacing w:val="0"/>
                <w:kern w:val="0"/>
                <w:sz w:val="21"/>
                <w:szCs w:val="21"/>
                <w:highlight w:val="none"/>
                <w:lang w:val="en-US" w:eastAsia="zh-CN"/>
              </w:rPr>
              <w:t>护理学基础、传染病护理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专科护理技术</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护理学基础、内科护理、外科护理、妇产科护理、儿科护理、老年护理</w:t>
            </w:r>
            <w:r>
              <w:rPr>
                <w:rFonts w:hint="default" w:ascii="仿宋" w:hAnsi="仿宋" w:eastAsia="仿宋" w:cs="仿宋"/>
                <w:snapToGrid w:val="0"/>
                <w:color w:val="auto"/>
                <w:spacing w:val="0"/>
                <w:kern w:val="0"/>
                <w:sz w:val="21"/>
                <w:szCs w:val="21"/>
                <w:highlight w:val="none"/>
                <w:lang w:val="en-US" w:eastAsia="zh-CN"/>
              </w:rPr>
              <w:t>、</w:t>
            </w:r>
            <w:r>
              <w:rPr>
                <w:rFonts w:hint="default" w:ascii="仿宋" w:hAnsi="仿宋" w:eastAsia="仿宋" w:cs="仿宋"/>
                <w:snapToGrid w:val="0"/>
                <w:color w:val="auto"/>
                <w:spacing w:val="0"/>
                <w:kern w:val="0"/>
                <w:sz w:val="21"/>
                <w:szCs w:val="21"/>
                <w:highlight w:val="none"/>
                <w:lang w:val="en-US" w:eastAsia="zh-CN"/>
              </w:rPr>
              <w:t>社区护理、</w:t>
            </w:r>
            <w:r>
              <w:rPr>
                <w:rFonts w:hint="eastAsia" w:ascii="仿宋" w:hAnsi="仿宋" w:eastAsia="仿宋" w:cs="仿宋"/>
                <w:snapToGrid w:val="0"/>
                <w:color w:val="auto"/>
                <w:spacing w:val="0"/>
                <w:kern w:val="0"/>
                <w:sz w:val="21"/>
                <w:szCs w:val="21"/>
                <w:highlight w:val="none"/>
                <w:lang w:val="en-US" w:eastAsia="zh-CN"/>
              </w:rPr>
              <w:t>急危重症护理</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急危重症护理、护理学基础、内科护理、外科护理、儿科护理、护理心理学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康复护理和延续护理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康复护理、护理学基础、护理心理学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安宁疗护</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护理学基础、护理伦理</w:t>
            </w:r>
            <w:r>
              <w:rPr>
                <w:rFonts w:hint="default" w:ascii="仿宋" w:hAnsi="仿宋" w:eastAsia="仿宋" w:cs="仿宋"/>
                <w:snapToGrid w:val="0"/>
                <w:color w:val="auto"/>
                <w:spacing w:val="0"/>
                <w:kern w:val="0"/>
                <w:sz w:val="21"/>
                <w:szCs w:val="21"/>
                <w:highlight w:val="none"/>
                <w:lang w:val="en-US" w:eastAsia="zh-CN"/>
              </w:rPr>
              <w:t>与法律法规</w:t>
            </w:r>
            <w:r>
              <w:rPr>
                <w:rFonts w:hint="eastAsia" w:ascii="仿宋" w:hAnsi="仿宋" w:eastAsia="仿宋" w:cs="仿宋"/>
                <w:snapToGrid w:val="0"/>
                <w:color w:val="auto"/>
                <w:spacing w:val="0"/>
                <w:kern w:val="0"/>
                <w:sz w:val="21"/>
                <w:szCs w:val="21"/>
                <w:highlight w:val="none"/>
                <w:lang w:val="en-US" w:eastAsia="zh-CN"/>
              </w:rPr>
              <w:t>、护理心理学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护理文书处理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护理学基础、信息技术、</w:t>
            </w:r>
            <w:r>
              <w:rPr>
                <w:rFonts w:hint="default" w:ascii="仿宋" w:hAnsi="仿宋" w:eastAsia="仿宋" w:cs="仿宋"/>
                <w:snapToGrid w:val="0"/>
                <w:color w:val="auto"/>
                <w:spacing w:val="0"/>
                <w:kern w:val="0"/>
                <w:sz w:val="21"/>
                <w:szCs w:val="21"/>
                <w:highlight w:val="none"/>
                <w:lang w:val="en-US" w:eastAsia="zh-CN"/>
              </w:rPr>
              <w:t>护理伦理与法律法规、护理管理学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护理安全与质量管理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护理学基础、护理学导论、护理管理学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医院信息技术与护理管理</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信息技术、护理管理学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社区、家庭健康教育与健康促进</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社区护理、健康评估、内科护理、外科护理、妇产科护理、儿科护理、老年护理、护理心理学</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突发公共卫生事件的应对</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内科护理、外科护理、妇产科护理、儿科护理、老年护理、社区护理、传染病护理、急危重症护理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临床护理实践</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专业技能综合实训、顶岗实习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15</w:t>
            </w:r>
          </w:p>
        </w:tc>
        <w:tc>
          <w:tcPr>
            <w:tcW w:w="27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互联网+护理服务</w:t>
            </w:r>
          </w:p>
        </w:tc>
        <w:tc>
          <w:tcPr>
            <w:tcW w:w="4992"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信息技术、社区护理、护理学基础</w:t>
            </w:r>
          </w:p>
        </w:tc>
      </w:tr>
    </w:tbl>
    <w:p>
      <w:pPr>
        <w:keepNext w:val="0"/>
        <w:keepLines w:val="0"/>
        <w:pageBreakBefore w:val="0"/>
        <w:wordWrap/>
        <w:overflowPunct/>
        <w:topLinePunct w:val="0"/>
        <w:bidi w:val="0"/>
        <w:spacing w:line="440" w:lineRule="exact"/>
        <w:ind w:firstLine="280" w:firstLineChars="100"/>
        <w:jc w:val="both"/>
        <w:rPr>
          <w:rFonts w:hint="eastAsia" w:ascii="楷体" w:hAnsi="楷体" w:eastAsia="楷体" w:cs="楷体"/>
          <w:b w:val="0"/>
          <w:bCs w:val="0"/>
          <w:color w:val="auto"/>
          <w:spacing w:val="0"/>
          <w:kern w:val="0"/>
          <w:sz w:val="28"/>
          <w:szCs w:val="28"/>
          <w:highlight w:val="none"/>
          <w:lang w:val="zh-TW" w:eastAsia="zh-CN" w:bidi="zh-TW"/>
        </w:rPr>
      </w:pPr>
      <w:r>
        <w:rPr>
          <w:rFonts w:hint="eastAsia" w:ascii="楷体" w:hAnsi="楷体" w:eastAsia="楷体" w:cs="楷体"/>
          <w:b w:val="0"/>
          <w:bCs w:val="0"/>
          <w:color w:val="auto"/>
          <w:spacing w:val="0"/>
          <w:kern w:val="0"/>
          <w:sz w:val="28"/>
          <w:szCs w:val="28"/>
          <w:highlight w:val="none"/>
          <w:lang w:val="zh-TW" w:eastAsia="zh-CN" w:bidi="zh-TW"/>
        </w:rPr>
        <w:t>（二）课程设置</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本专业课程主要包括公共课程和专业课程。</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公共课程，包括公共基础课和公共选修课。</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根据党和国家有关文件规定，将思想道德与法治、毛泽东思想和中国特色社会主义理论体系概论、军事理论、军事实践、大学体育与健康、形势与政策、简明新疆地方史、计算机应用基础、大学语文、心理健康、劳动实践、职业规划、大学英语列入公共基础必修课；并开设心理选修、体育选修、高级英语、普通话口语训练等公共选修课。</w:t>
      </w:r>
    </w:p>
    <w:p>
      <w:pPr>
        <w:pStyle w:val="11"/>
        <w:keepNext w:val="0"/>
        <w:keepLines w:val="0"/>
        <w:pageBreakBefore w:val="0"/>
        <w:numPr>
          <w:ilvl w:val="0"/>
          <w:numId w:val="1"/>
        </w:numPr>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专业课程，包括专业基础课、专业核心课、专业选修课和职业技能训练课。</w:t>
      </w:r>
    </w:p>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表4.专业基础课程一览表</w:t>
      </w:r>
    </w:p>
    <w:tbl>
      <w:tblPr>
        <w:tblStyle w:val="8"/>
        <w:tblW w:w="9325" w:type="dxa"/>
        <w:tblInd w:w="1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41"/>
        <w:gridCol w:w="1006"/>
        <w:gridCol w:w="1321"/>
        <w:gridCol w:w="1321"/>
        <w:gridCol w:w="1321"/>
        <w:gridCol w:w="1321"/>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bookmarkStart w:id="7" w:name="_Hlk98409471"/>
            <w:r>
              <w:rPr>
                <w:rFonts w:hint="eastAsia" w:ascii="仿宋" w:hAnsi="仿宋" w:eastAsia="仿宋" w:cs="仿宋"/>
                <w:snapToGrid w:val="0"/>
                <w:color w:val="auto"/>
                <w:spacing w:val="0"/>
                <w:kern w:val="0"/>
                <w:sz w:val="21"/>
                <w:szCs w:val="21"/>
                <w:highlight w:val="none"/>
                <w:lang w:val="en-US" w:eastAsia="zh-CN"/>
              </w:rPr>
              <w:t>课程名称</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开设学期</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周学时</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总学时</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学分</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考核方式</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实践课时/理论课时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人体解剖学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56</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病理学与病理生理学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组织胚胎学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生理学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7"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护用药理学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医用化学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病原微生物与免疫学</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4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护理学导论</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159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0/32</w:t>
            </w:r>
          </w:p>
        </w:tc>
      </w:tr>
    </w:tbl>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表5.专业核心课程一览表</w:t>
      </w:r>
    </w:p>
    <w:tbl>
      <w:tblPr>
        <w:tblStyle w:val="9"/>
        <w:tblW w:w="8616"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070"/>
        <w:gridCol w:w="870"/>
        <w:gridCol w:w="869"/>
        <w:gridCol w:w="749"/>
        <w:gridCol w:w="109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课程名称</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开设学期</w:t>
            </w:r>
          </w:p>
        </w:tc>
        <w:tc>
          <w:tcPr>
            <w:tcW w:w="8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周学时</w:t>
            </w:r>
          </w:p>
        </w:tc>
        <w:tc>
          <w:tcPr>
            <w:tcW w:w="8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总学时</w:t>
            </w:r>
          </w:p>
        </w:tc>
        <w:tc>
          <w:tcPr>
            <w:tcW w:w="74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学分</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考核方式</w:t>
            </w:r>
          </w:p>
        </w:tc>
        <w:tc>
          <w:tcPr>
            <w:tcW w:w="202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实践课时/理论课时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基础护理学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8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8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妇产科护理学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传染病护理学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护理技能综合训练</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急危重症护理学</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w:t>
            </w:r>
          </w:p>
        </w:tc>
        <w:tc>
          <w:tcPr>
            <w:tcW w:w="1070"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0"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6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749" w:type="dxa"/>
            <w:vAlign w:val="bottom"/>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94"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202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16/16</w:t>
            </w:r>
          </w:p>
        </w:tc>
      </w:tr>
    </w:tbl>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表6.专业选修课程一览</w:t>
      </w:r>
      <w:bookmarkEnd w:id="7"/>
    </w:p>
    <w:tbl>
      <w:tblPr>
        <w:tblStyle w:val="15"/>
        <w:tblW w:w="868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097"/>
        <w:gridCol w:w="943"/>
        <w:gridCol w:w="873"/>
        <w:gridCol w:w="644"/>
        <w:gridCol w:w="1083"/>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课程名称</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开设学期</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周学时</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总学时</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学分</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考核方式</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实践课时/理论课时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中医护理技术</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bookmarkStart w:id="8" w:name="_Hlk104830645"/>
            <w:r>
              <w:rPr>
                <w:rFonts w:hint="eastAsia" w:ascii="仿宋" w:hAnsi="仿宋" w:eastAsia="仿宋" w:cs="仿宋"/>
                <w:snapToGrid w:val="0"/>
                <w:color w:val="auto"/>
                <w:spacing w:val="0"/>
                <w:kern w:val="0"/>
                <w:sz w:val="21"/>
                <w:szCs w:val="21"/>
                <w:highlight w:val="none"/>
                <w:lang w:val="en-US" w:eastAsia="zh-CN"/>
              </w:rPr>
              <w:t>精神病护理</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护理心理学</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护理管理学</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五官科护理</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康复护理</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14/18</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护理礼仪与人际沟通</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护理伦理与卫生法规</w:t>
            </w:r>
          </w:p>
        </w:tc>
        <w:tc>
          <w:tcPr>
            <w:tcW w:w="1097"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94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64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营养与食品卫生学</w:t>
            </w:r>
          </w:p>
        </w:tc>
        <w:tc>
          <w:tcPr>
            <w:tcW w:w="1097"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94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87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644"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083"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2050" w:type="dxa"/>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6/26</w:t>
            </w:r>
          </w:p>
        </w:tc>
      </w:tr>
    </w:tbl>
    <w:p>
      <w:pPr>
        <w:keepNext w:val="0"/>
        <w:keepLines w:val="0"/>
        <w:pageBreakBefore w:val="0"/>
        <w:wordWrap/>
        <w:overflowPunct/>
        <w:topLinePunct w:val="0"/>
        <w:bidi w:val="0"/>
        <w:adjustRightInd w:val="0"/>
        <w:snapToGrid w:val="0"/>
        <w:spacing w:line="440" w:lineRule="exact"/>
        <w:ind w:firstLine="560" w:firstLineChars="200"/>
        <w:jc w:val="both"/>
        <w:rPr>
          <w:rFonts w:ascii="楷体" w:hAnsi="楷体" w:eastAsia="楷体" w:cs="楷体"/>
          <w:b w:val="0"/>
          <w:bCs w:val="0"/>
          <w:color w:val="auto"/>
          <w:spacing w:val="0"/>
          <w:sz w:val="28"/>
          <w:szCs w:val="28"/>
          <w:highlight w:val="none"/>
        </w:rPr>
      </w:pPr>
      <w:r>
        <w:rPr>
          <w:rFonts w:hint="eastAsia" w:ascii="楷体" w:hAnsi="楷体" w:eastAsia="楷体" w:cs="楷体"/>
          <w:b w:val="0"/>
          <w:bCs w:val="0"/>
          <w:color w:val="auto"/>
          <w:spacing w:val="0"/>
          <w:sz w:val="28"/>
          <w:szCs w:val="28"/>
          <w:highlight w:val="none"/>
        </w:rPr>
        <w:t>（三）相关要求</w:t>
      </w:r>
    </w:p>
    <w:p>
      <w:pPr>
        <w:keepNext w:val="0"/>
        <w:keepLines w:val="0"/>
        <w:pageBreakBefore w:val="0"/>
        <w:wordWrap/>
        <w:overflowPunct/>
        <w:topLinePunct w:val="0"/>
        <w:autoSpaceDE w:val="0"/>
        <w:autoSpaceDN w:val="0"/>
        <w:bidi w:val="0"/>
        <w:spacing w:line="440" w:lineRule="exact"/>
        <w:ind w:firstLine="560" w:firstLineChars="200"/>
        <w:jc w:val="both"/>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1.</w:t>
      </w:r>
      <w:r>
        <w:rPr>
          <w:rFonts w:hint="eastAsia" w:ascii="仿宋" w:hAnsi="仿宋" w:eastAsia="仿宋" w:cs="仿宋"/>
          <w:color w:val="auto"/>
          <w:spacing w:val="0"/>
          <w:kern w:val="0"/>
          <w:sz w:val="22"/>
          <w:szCs w:val="22"/>
          <w:highlight w:val="none"/>
        </w:rPr>
        <w:t xml:space="preserve"> </w:t>
      </w:r>
      <w:r>
        <w:rPr>
          <w:rFonts w:hint="eastAsia" w:ascii="仿宋" w:hAnsi="仿宋" w:eastAsia="仿宋" w:cs="仿宋"/>
          <w:color w:val="auto"/>
          <w:spacing w:val="0"/>
          <w:sz w:val="28"/>
          <w:szCs w:val="28"/>
          <w:highlight w:val="none"/>
          <w:lang w:val="en-US" w:eastAsia="zh-CN"/>
        </w:rPr>
        <w:t>实训课开课第一讲必须进行</w:t>
      </w:r>
      <w:r>
        <w:rPr>
          <w:rFonts w:hint="eastAsia" w:ascii="仿宋" w:hAnsi="仿宋" w:eastAsia="仿宋" w:cs="仿宋"/>
          <w:color w:val="auto"/>
          <w:spacing w:val="0"/>
          <w:sz w:val="28"/>
          <w:szCs w:val="28"/>
          <w:highlight w:val="none"/>
        </w:rPr>
        <w:t>安全教育</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lang w:val="en-US" w:eastAsia="zh-CN"/>
        </w:rPr>
        <w:t>对学生进行安全制度</w:t>
      </w:r>
      <w:r>
        <w:rPr>
          <w:rFonts w:hint="eastAsia" w:ascii="仿宋" w:hAnsi="仿宋" w:eastAsia="仿宋" w:cs="仿宋"/>
          <w:color w:val="auto"/>
          <w:spacing w:val="0"/>
          <w:sz w:val="28"/>
          <w:szCs w:val="28"/>
          <w:highlight w:val="none"/>
        </w:rPr>
        <w:t>、</w:t>
      </w:r>
      <w:r>
        <w:rPr>
          <w:rFonts w:hint="eastAsia" w:ascii="仿宋" w:hAnsi="仿宋" w:eastAsia="仿宋" w:cs="仿宋"/>
          <w:color w:val="auto"/>
          <w:spacing w:val="0"/>
          <w:sz w:val="28"/>
          <w:szCs w:val="28"/>
          <w:highlight w:val="none"/>
          <w:lang w:val="en-US" w:eastAsia="zh-CN"/>
        </w:rPr>
        <w:t>实训操作安全、用电安全、消防安全等方面进行教育。</w:t>
      </w:r>
    </w:p>
    <w:p>
      <w:pPr>
        <w:keepNext w:val="0"/>
        <w:keepLines w:val="0"/>
        <w:pageBreakBefore w:val="0"/>
        <w:wordWrap/>
        <w:overflowPunct/>
        <w:topLinePunct w:val="0"/>
        <w:autoSpaceDE w:val="0"/>
        <w:autoSpaceDN w:val="0"/>
        <w:bidi w:val="0"/>
        <w:spacing w:line="440" w:lineRule="exact"/>
        <w:ind w:firstLine="560" w:firstLineChars="200"/>
        <w:jc w:val="both"/>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val="en-US" w:eastAsia="zh-CN"/>
        </w:rPr>
        <w:t>2.对学生进行</w:t>
      </w:r>
      <w:r>
        <w:rPr>
          <w:rFonts w:hint="eastAsia" w:ascii="仿宋" w:hAnsi="仿宋" w:eastAsia="仿宋" w:cs="仿宋"/>
          <w:color w:val="auto"/>
          <w:spacing w:val="0"/>
          <w:sz w:val="28"/>
          <w:szCs w:val="28"/>
          <w:highlight w:val="none"/>
        </w:rPr>
        <w:t>社会责任、绿色环保、管理等人文素养、科学素养方面的选修课程、拓展课程或专题讲座（活动），并将有关内容融入到专业课程教学中</w:t>
      </w:r>
      <w:r>
        <w:rPr>
          <w:rFonts w:hint="eastAsia" w:ascii="仿宋" w:hAnsi="仿宋" w:eastAsia="仿宋" w:cs="仿宋"/>
          <w:color w:val="auto"/>
          <w:spacing w:val="0"/>
          <w:sz w:val="28"/>
          <w:szCs w:val="28"/>
          <w:highlight w:val="none"/>
          <w:lang w:eastAsia="zh-CN"/>
        </w:rPr>
        <w:t>。</w:t>
      </w:r>
    </w:p>
    <w:p>
      <w:pPr>
        <w:keepNext w:val="0"/>
        <w:keepLines w:val="0"/>
        <w:pageBreakBefore w:val="0"/>
        <w:wordWrap/>
        <w:overflowPunct/>
        <w:topLinePunct w:val="0"/>
        <w:autoSpaceDE w:val="0"/>
        <w:autoSpaceDN w:val="0"/>
        <w:bidi w:val="0"/>
        <w:spacing w:line="440" w:lineRule="exact"/>
        <w:ind w:firstLine="560" w:firstLineChars="200"/>
        <w:jc w:val="both"/>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lang w:val="en-US" w:eastAsia="zh-CN"/>
        </w:rPr>
        <w:t>3.</w:t>
      </w:r>
      <w:r>
        <w:rPr>
          <w:rFonts w:hint="eastAsia" w:ascii="仿宋" w:hAnsi="仿宋" w:eastAsia="仿宋" w:cs="仿宋"/>
          <w:color w:val="auto"/>
          <w:spacing w:val="0"/>
          <w:sz w:val="28"/>
          <w:szCs w:val="28"/>
          <w:highlight w:val="none"/>
        </w:rPr>
        <w:t>自主开设</w:t>
      </w:r>
      <w:r>
        <w:rPr>
          <w:rFonts w:hint="eastAsia" w:ascii="仿宋" w:hAnsi="仿宋" w:eastAsia="仿宋" w:cs="仿宋"/>
          <w:color w:val="auto"/>
          <w:spacing w:val="0"/>
          <w:sz w:val="28"/>
          <w:szCs w:val="28"/>
          <w:highlight w:val="none"/>
          <w:lang w:val="en-US" w:eastAsia="zh-CN"/>
        </w:rPr>
        <w:t>创新创业</w:t>
      </w:r>
      <w:r>
        <w:rPr>
          <w:rFonts w:hint="eastAsia" w:ascii="仿宋" w:hAnsi="仿宋" w:eastAsia="仿宋" w:cs="仿宋"/>
          <w:color w:val="auto"/>
          <w:spacing w:val="0"/>
          <w:sz w:val="28"/>
          <w:szCs w:val="28"/>
          <w:highlight w:val="none"/>
        </w:rPr>
        <w:t>特色课程</w:t>
      </w:r>
      <w:r>
        <w:rPr>
          <w:rFonts w:hint="eastAsia" w:ascii="仿宋" w:hAnsi="仿宋" w:eastAsia="仿宋" w:cs="仿宋"/>
          <w:color w:val="auto"/>
          <w:spacing w:val="0"/>
          <w:sz w:val="28"/>
          <w:szCs w:val="28"/>
          <w:highlight w:val="none"/>
          <w:lang w:eastAsia="zh-CN"/>
        </w:rPr>
        <w:t>，</w:t>
      </w:r>
      <w:r>
        <w:rPr>
          <w:rFonts w:hint="eastAsia" w:ascii="仿宋" w:hAnsi="仿宋" w:eastAsia="仿宋" w:cs="仿宋"/>
          <w:color w:val="auto"/>
          <w:spacing w:val="0"/>
          <w:sz w:val="28"/>
          <w:szCs w:val="28"/>
          <w:highlight w:val="none"/>
        </w:rPr>
        <w:t>将创新创业教育融入到专业课程教学和有关实践性教学环节中</w:t>
      </w:r>
      <w:r>
        <w:rPr>
          <w:rFonts w:hint="eastAsia" w:ascii="仿宋" w:hAnsi="仿宋" w:eastAsia="仿宋" w:cs="仿宋"/>
          <w:color w:val="auto"/>
          <w:spacing w:val="0"/>
          <w:sz w:val="28"/>
          <w:szCs w:val="28"/>
          <w:highlight w:val="none"/>
          <w:lang w:eastAsia="zh-CN"/>
        </w:rPr>
        <w:t>。</w:t>
      </w:r>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六、教学进程总体安排</w:t>
      </w:r>
      <w:bookmarkStart w:id="9" w:name="bookmark21"/>
    </w:p>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b/>
          <w:bCs/>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 xml:space="preserve"> </w:t>
      </w:r>
      <w:r>
        <w:rPr>
          <w:rFonts w:hint="eastAsia" w:ascii="仿宋" w:hAnsi="仿宋" w:eastAsia="仿宋" w:cs="仿宋"/>
          <w:b w:val="0"/>
          <w:bCs w:val="0"/>
          <w:color w:val="auto"/>
          <w:spacing w:val="0"/>
          <w:kern w:val="0"/>
          <w:highlight w:val="none"/>
          <w:lang w:val="en-US" w:eastAsia="zh-CN"/>
        </w:rPr>
        <w:t>见附表10、附表11、附表12</w:t>
      </w:r>
      <w:bookmarkEnd w:id="9"/>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七、实施保障</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bidi="zh-TW"/>
        </w:rPr>
      </w:pPr>
      <w:r>
        <w:rPr>
          <w:rFonts w:hint="eastAsia" w:ascii="楷体" w:hAnsi="楷体" w:eastAsia="楷体" w:cs="楷体"/>
          <w:b w:val="0"/>
          <w:bCs w:val="0"/>
          <w:color w:val="auto"/>
          <w:spacing w:val="0"/>
          <w:kern w:val="0"/>
          <w:sz w:val="28"/>
          <w:szCs w:val="28"/>
          <w:highlight w:val="none"/>
          <w:lang w:bidi="zh-TW"/>
        </w:rPr>
        <w:t>（一）教学设施（实践教学条件）</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主要包括能够满足正常的课程教学、实习实训所必需的专业教室、实训室和实训基地。</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一般配备黑（白）板、多媒体计算机、投影设备、音响设备，互联网接入或无线网络环境，并具有网络安全防护措施。安装应急照明装置并保持良好状态，符合紧急疏散要求，标志明显，保持逃生通道畅通无阻。</w:t>
      </w:r>
    </w:p>
    <w:p>
      <w:pPr>
        <w:pStyle w:val="4"/>
        <w:keepNext w:val="0"/>
        <w:keepLines w:val="0"/>
        <w:pageBreakBefore w:val="0"/>
        <w:wordWrap/>
        <w:overflowPunct/>
        <w:topLinePunct w:val="0"/>
        <w:bidi w:val="0"/>
        <w:spacing w:line="440" w:lineRule="exact"/>
        <w:ind w:firstLine="560" w:firstLineChars="200"/>
        <w:jc w:val="both"/>
        <w:rPr>
          <w:rFonts w:hint="eastAsia" w:ascii="楷体" w:hAnsi="楷体" w:eastAsia="楷体" w:cs="楷体"/>
          <w:b w:val="0"/>
          <w:bCs w:val="0"/>
          <w:color w:val="auto"/>
          <w:spacing w:val="0"/>
          <w:kern w:val="0"/>
          <w:sz w:val="28"/>
          <w:szCs w:val="28"/>
          <w:highlight w:val="none"/>
          <w:lang w:val="zh-TW" w:bidi="zh-TW"/>
        </w:rPr>
      </w:pPr>
      <w:r>
        <w:rPr>
          <w:rFonts w:hint="eastAsia" w:ascii="楷体" w:hAnsi="楷体" w:eastAsia="楷体" w:cs="楷体"/>
          <w:b w:val="0"/>
          <w:bCs w:val="0"/>
          <w:color w:val="auto"/>
          <w:spacing w:val="0"/>
          <w:kern w:val="0"/>
          <w:sz w:val="28"/>
          <w:szCs w:val="28"/>
          <w:highlight w:val="none"/>
          <w:lang w:val="zh-TW" w:bidi="zh-TW"/>
        </w:rPr>
        <w:t>（二）师资队伍</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bookmarkStart w:id="10" w:name="bookmark23"/>
      <w:r>
        <w:rPr>
          <w:rFonts w:hint="eastAsia" w:ascii="仿宋" w:hAnsi="仿宋" w:eastAsia="仿宋" w:cs="仿宋"/>
          <w:color w:val="auto"/>
          <w:spacing w:val="0"/>
          <w:kern w:val="0"/>
          <w:highlight w:val="none"/>
          <w:lang w:val="en-US" w:eastAsia="zh-CN"/>
        </w:rPr>
        <w:t>本专业师生比1:18，师资配备充足，专业教师团队由校企双方师资构成，整体素质高，业务能力强，专兼结合、年龄结构合理。教师队伍朝气蓬勃，信息化教学能力和科研意识强，能够有效开展课程教学改革和科学研究工作。</w:t>
      </w:r>
    </w:p>
    <w:p>
      <w:pPr>
        <w:pStyle w:val="4"/>
        <w:keepNext w:val="0"/>
        <w:keepLines w:val="0"/>
        <w:pageBreakBefore w:val="0"/>
        <w:wordWrap/>
        <w:overflowPunct/>
        <w:topLinePunct w:val="0"/>
        <w:bidi w:val="0"/>
        <w:spacing w:line="440" w:lineRule="exact"/>
        <w:ind w:firstLine="560" w:firstLineChars="200"/>
        <w:jc w:val="both"/>
        <w:rPr>
          <w:rFonts w:hint="eastAsia" w:ascii="楷体" w:hAnsi="楷体" w:eastAsia="楷体" w:cs="楷体"/>
          <w:b w:val="0"/>
          <w:bCs w:val="0"/>
          <w:color w:val="auto"/>
          <w:spacing w:val="0"/>
          <w:kern w:val="0"/>
          <w:sz w:val="28"/>
          <w:szCs w:val="28"/>
          <w:highlight w:val="none"/>
          <w:lang w:val="zh-TW" w:bidi="zh-TW"/>
        </w:rPr>
      </w:pPr>
      <w:r>
        <w:rPr>
          <w:rFonts w:hint="eastAsia" w:ascii="楷体" w:hAnsi="楷体" w:eastAsia="楷体" w:cs="楷体"/>
          <w:b w:val="0"/>
          <w:bCs w:val="0"/>
          <w:color w:val="auto"/>
          <w:spacing w:val="0"/>
          <w:kern w:val="0"/>
          <w:sz w:val="28"/>
          <w:szCs w:val="28"/>
          <w:highlight w:val="none"/>
          <w:lang w:val="zh-TW" w:bidi="zh-TW"/>
        </w:rPr>
        <w:t>（</w:t>
      </w:r>
      <w:bookmarkEnd w:id="10"/>
      <w:r>
        <w:rPr>
          <w:rFonts w:hint="eastAsia" w:ascii="楷体" w:hAnsi="楷体" w:eastAsia="楷体" w:cs="楷体"/>
          <w:b w:val="0"/>
          <w:bCs w:val="0"/>
          <w:color w:val="auto"/>
          <w:spacing w:val="0"/>
          <w:kern w:val="0"/>
          <w:sz w:val="28"/>
          <w:szCs w:val="28"/>
          <w:highlight w:val="none"/>
          <w:lang w:val="zh-TW" w:bidi="zh-TW"/>
        </w:rPr>
        <w:t>三）实训条件（校内外）</w:t>
      </w:r>
    </w:p>
    <w:p>
      <w:pPr>
        <w:pStyle w:val="11"/>
        <w:keepNext w:val="0"/>
        <w:keepLines w:val="0"/>
        <w:pageBreakBefore w:val="0"/>
        <w:tabs>
          <w:tab w:val="left" w:pos="1576"/>
        </w:tabs>
        <w:wordWrap/>
        <w:overflowPunct/>
        <w:topLinePunct w:val="0"/>
        <w:bidi w:val="0"/>
        <w:spacing w:line="440" w:lineRule="exact"/>
        <w:ind w:firstLine="677" w:firstLineChars="242"/>
        <w:jc w:val="both"/>
        <w:rPr>
          <w:rFonts w:ascii="仿宋" w:hAnsi="仿宋" w:eastAsia="仿宋" w:cs="仿宋"/>
          <w:b w:val="0"/>
          <w:bCs w:val="0"/>
          <w:color w:val="auto"/>
          <w:spacing w:val="0"/>
          <w:kern w:val="0"/>
          <w:highlight w:val="none"/>
          <w:lang w:val="en-US" w:eastAsia="zh-CN"/>
        </w:rPr>
      </w:pPr>
      <w:r>
        <w:rPr>
          <w:rFonts w:hint="eastAsia" w:ascii="仿宋" w:hAnsi="仿宋" w:eastAsia="仿宋" w:cs="仿宋"/>
          <w:b w:val="0"/>
          <w:bCs w:val="0"/>
          <w:color w:val="auto"/>
          <w:spacing w:val="0"/>
          <w:kern w:val="0"/>
          <w:highlight w:val="none"/>
          <w:lang w:val="en-US" w:eastAsia="zh-CN"/>
        </w:rPr>
        <w:t xml:space="preserve">1.校内实训室（基地）基本要求 </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（1）基础护理实训室：主要包括备用床、麻醉床、多功能病床、多功能护理人、鼻饲模型、导尿及灌肠模型、各类给药模型等。</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2）专科护理实训室：主要包括内科护理、外科护理、妇产科护理、儿科护理、健康评估实训室，应配备智能化胸腹部检查教学仪、心电图机、心肺复苏训练模拟人、快速血糖仪、心电监护仪、局部创伤模型、瘘管造口术护理模型、手术器械台、常用手术器械包、胎心监护仪、分娩综合技能模型、婴儿护理模型、老年护理模拟人等。具体设备配置参考《职业院校护理专业仪器设备装备规范》 (教职成函〔2014〕14 号)。</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（3）拓展护理实训室：主要包括1+X母婴护理、产后恢复、幼儿照护、老年照护、失智老年人照护等职业技能等级证书培训与考评实施条件和设施设备。婴幼儿心肺复苏训练模型、多功能产后康复治疗仪、</w:t>
      </w:r>
      <w:r>
        <w:rPr>
          <w:rFonts w:hint="default" w:ascii="仿宋" w:hAnsi="仿宋" w:eastAsia="仿宋" w:cs="仿宋"/>
          <w:color w:val="auto"/>
          <w:spacing w:val="0"/>
          <w:kern w:val="0"/>
          <w:highlight w:val="none"/>
          <w:lang w:eastAsia="zh-CN"/>
        </w:rPr>
        <w:t>高级智能新生儿生命体征模型</w:t>
      </w:r>
      <w:r>
        <w:rPr>
          <w:rFonts w:hint="eastAsia" w:ascii="仿宋" w:hAnsi="仿宋" w:eastAsia="仿宋" w:cs="仿宋"/>
          <w:color w:val="auto"/>
          <w:spacing w:val="0"/>
          <w:kern w:val="0"/>
          <w:highlight w:val="none"/>
          <w:lang w:val="en-US" w:eastAsia="zh-CN"/>
        </w:rPr>
        <w:t>、</w:t>
      </w:r>
      <w:r>
        <w:rPr>
          <w:rFonts w:hint="default" w:ascii="仿宋" w:hAnsi="仿宋" w:eastAsia="仿宋" w:cs="仿宋"/>
          <w:color w:val="auto"/>
          <w:spacing w:val="0"/>
          <w:kern w:val="0"/>
          <w:highlight w:val="none"/>
          <w:lang w:eastAsia="zh-CN"/>
        </w:rPr>
        <w:t>高级着装式老年行动装置、老年偏瘫护理模拟装置</w:t>
      </w:r>
      <w:r>
        <w:rPr>
          <w:rFonts w:hint="eastAsia" w:ascii="仿宋" w:hAnsi="仿宋" w:eastAsia="仿宋" w:cs="仿宋"/>
          <w:color w:val="auto"/>
          <w:spacing w:val="0"/>
          <w:kern w:val="0"/>
          <w:highlight w:val="none"/>
          <w:lang w:val="en-US" w:eastAsia="zh-CN"/>
        </w:rPr>
        <w:t>等。</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按照“育训结合、书证融通”要求配备相应的1+X职业技能实训设备、专职实训室管理人员以及完善的实训室管理制度，能满足专业校内实践教学、技能考核等多重功能要求。</w:t>
      </w:r>
    </w:p>
    <w:p>
      <w:pPr>
        <w:pStyle w:val="11"/>
        <w:keepNext w:val="0"/>
        <w:keepLines w:val="0"/>
        <w:pageBreakBefore w:val="0"/>
        <w:wordWrap/>
        <w:overflowPunct/>
        <w:topLinePunct w:val="0"/>
        <w:bidi w:val="0"/>
        <w:spacing w:line="440" w:lineRule="exact"/>
        <w:ind w:firstLine="618"/>
        <w:jc w:val="both"/>
        <w:rPr>
          <w:rFonts w:ascii="仿宋" w:hAnsi="仿宋" w:eastAsia="仿宋" w:cs="仿宋"/>
          <w:bCs/>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实训室建设要求详见表7。</w:t>
      </w:r>
    </w:p>
    <w:p>
      <w:pPr>
        <w:keepNext w:val="0"/>
        <w:keepLines w:val="0"/>
        <w:pageBreakBefore w:val="0"/>
        <w:wordWrap/>
        <w:overflowPunct/>
        <w:topLinePunct w:val="0"/>
        <w:bidi w:val="0"/>
        <w:snapToGrid w:val="0"/>
        <w:spacing w:line="440" w:lineRule="exact"/>
        <w:ind w:firstLine="560" w:firstLineChars="200"/>
        <w:jc w:val="both"/>
        <w:rPr>
          <w:rFonts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2.校外实训基地基本要求</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具有稳定的校外实训基地。能够提供开展临床护理、社区护理和健康保健等实训活动，实训设施齐备，实训岗位、实训指导教师确定，实训管理及实施规章制度齐全。</w:t>
      </w:r>
    </w:p>
    <w:p>
      <w:pPr>
        <w:keepNext w:val="0"/>
        <w:keepLines w:val="0"/>
        <w:pageBreakBefore w:val="0"/>
        <w:wordWrap/>
        <w:overflowPunct/>
        <w:topLinePunct w:val="0"/>
        <w:bidi w:val="0"/>
        <w:spacing w:line="440" w:lineRule="exact"/>
        <w:ind w:firstLine="560" w:firstLineChars="200"/>
        <w:jc w:val="both"/>
        <w:rPr>
          <w:rFonts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3.学生实习基地基本要求</w:t>
      </w:r>
    </w:p>
    <w:p>
      <w:pPr>
        <w:pStyle w:val="11"/>
        <w:keepNext w:val="0"/>
        <w:keepLines w:val="0"/>
        <w:pageBreakBefore w:val="0"/>
        <w:wordWrap/>
        <w:overflowPunct/>
        <w:topLinePunct w:val="0"/>
        <w:bidi w:val="0"/>
        <w:spacing w:line="440" w:lineRule="exact"/>
        <w:ind w:firstLine="618"/>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具有稳定的校外实习基地。适用于高等职业学校普通护理专业学生的顶岗实习安排，面向各级各类医疗卫生服务机构，包括三级医院及二级综合性医院、专科医院、社区卫生服务中心、康复护理院、保健服务机构，针对临床护理(如内、外、妇、儿、重症监护等科室)及健康保健等岗位或技术领域(如社区护理)提供护理相关实习岗位。能够配备相应数量的指导教师对学生实习进行指导和管理。有保证实习生日常工作、学习、生活的规章制度，有安全、保险保障。严格执行《高等职业学校普通护理专业顶岗实习标准》(教育部2017年8月发布)相关要求内容。</w:t>
      </w:r>
    </w:p>
    <w:p>
      <w:pPr>
        <w:pStyle w:val="11"/>
        <w:keepNext w:val="0"/>
        <w:keepLines w:val="0"/>
        <w:pageBreakBefore w:val="0"/>
        <w:wordWrap/>
        <w:overflowPunct/>
        <w:topLinePunct w:val="0"/>
        <w:bidi w:val="0"/>
        <w:spacing w:line="440" w:lineRule="exact"/>
        <w:ind w:left="0" w:leftChars="0" w:firstLine="0" w:firstLineChars="0"/>
        <w:jc w:val="both"/>
        <w:rPr>
          <w:rFonts w:hint="eastAsia" w:ascii="仿宋" w:hAnsi="仿宋" w:eastAsia="仿宋" w:cs="仿宋"/>
          <w:color w:val="auto"/>
          <w:spacing w:val="0"/>
          <w:kern w:val="0"/>
          <w:highlight w:val="none"/>
          <w:lang w:val="en-US" w:eastAsia="zh-CN"/>
        </w:rPr>
      </w:pPr>
      <w:r>
        <w:rPr>
          <w:rFonts w:hint="eastAsia" w:ascii="仿宋" w:hAnsi="仿宋" w:eastAsia="仿宋" w:cs="仿宋"/>
          <w:color w:val="auto"/>
          <w:spacing w:val="0"/>
          <w:kern w:val="0"/>
          <w:highlight w:val="none"/>
          <w:lang w:val="en-US" w:eastAsia="zh-CN"/>
        </w:rPr>
        <w:t>表7.校内实验实训室配置一览表</w:t>
      </w:r>
    </w:p>
    <w:tbl>
      <w:tblPr>
        <w:tblStyle w:val="8"/>
        <w:tblpPr w:leftFromText="180" w:rightFromText="180" w:vertAnchor="text" w:horzAnchor="page" w:tblpX="1770" w:tblpY="330"/>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22"/>
        <w:gridCol w:w="2108"/>
        <w:gridCol w:w="736"/>
        <w:gridCol w:w="290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br w:type="page"/>
            </w:r>
            <w:r>
              <w:rPr>
                <w:rFonts w:hint="eastAsia" w:ascii="仿宋" w:hAnsi="仿宋" w:eastAsia="仿宋" w:cs="仿宋"/>
                <w:snapToGrid w:val="0"/>
                <w:color w:val="auto"/>
                <w:spacing w:val="0"/>
                <w:kern w:val="0"/>
                <w:sz w:val="21"/>
                <w:szCs w:val="21"/>
                <w:highlight w:val="none"/>
                <w:lang w:val="en-US" w:eastAsia="zh-CN"/>
              </w:rPr>
              <w:t>序号</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实验实训室名称</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主要功能</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面积</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设备配置</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计算机实验室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学生上机操作和考级培训</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计算机/工作站、服务器、交换机、网络机柜、多媒体中控台、投影仪、投影幕、电脑桌椅、交互式电子白板、操作系统软件、办公软件、项目开发软件、数据库开发软件、前端开发软件、项目管理软件、单元测试软件、功能测试软件、性能测试软件、安全测试软件、测试管理软件、大数据开发软件、人工智能开发软件、虚拟现实开发软件、虚拟现实体验台。</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计算机应用基础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人体解剖实验室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1.系统解剖学教学和实验操作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2.局部解剖学教学和实验操作</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3.断层解剖学教学和实验操作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4.标本制作、模型、贮存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全自动尸体灌注系统、微型多用刨、电动砂轮机、断层解剖用电锯、女性全身骨架、人体全身散骨(一级)、男性全身骨架(特级)、颅骨(水平切带颅盖)、男性骨盆、女性骨盆、女性骨盆带韧带、肘关节、肩关节、膝关节、髋关节、尸体(已解剖)。</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人体解剖学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机能学实验室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1.人体实验和动物实验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2.生理、病理、药理模拟实验</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3.生理、病理、药理动物实验</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学图象分析仪、生化分析仪、血液酸碱气体分析仪、智能热板仪、PES心理实验系统、荧光显微镜、冰箱、离心机、分光光度计、数显恒温干燥箱、生物机能采集处理系统、小动物呼吸机、微电极拉制器、MC-手动微操作器、恒温浴槽、电子天平、小动物体重秤、生物机能实验系统、虚拟实验系统、药品橱柜。</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生理学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药理学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多功能基础护理实训中心</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完成54项护理基本技术、12项儿童护理技术、12项内科护理基本技术及护理配合、20项老年护理实验实训操作。对外培训与实训</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1000m 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历车、普通病床、多功能病床、床旁桌、床旁椅、床上用品、平车、轮椅、担架、约束带、透明女性导尿模型、不透明女性导尿模型、透明男性导尿模型、灌肠与肛管排气训练仿真模型、皮下注射模型、上臂肌内注射模型、臀部肌内注射模型、冰袋、冰帽、全自动洗胃机、持物钳、置钳筒、治疗碗、治疗盘、有盖罐、循环风紫外线空气消毒器、治疗车、晨间护理车、高级成人女性护理人、牙模型、玻璃体温计、红外线体温计、电子血压计、汞柱式血压计、听诊器、鼻饲与洗胃模型、药柜、发药车、超声雾化器、静脉注射手臂模型、静脉注射泵、输液泵、输液架、电动吸引器、氧气瓶、氧气瓶推车、立式氧气表、办公电脑、办公桌椅、一体机、音响设备、健康评估一体机、病床、食物透明旋转展示柜、多功能病床、多功能轮椅、病床床上用品、西餐餐桌椅、双开门冰箱、吊柜一套、中餐餐具、食物模型、西餐餐具、进食类评估辅具1套、前臂旋转悬训练器、肩关节旋转训练器、滑轮吊环训练器、肋木、OT桌、手指肌力训练台、康复训练床、四角伸缩手杖、跑步机、平衡杠、康复双向训练阶梯、下肢功率车、成套哑铃、体操棒抛接球、康复慢跑台、全自动智能床、沙发、茶几、智能马桶、可升降洗漱台、挂式电视机、座椅式淋浴、智能报警系统、关节活动度测量器、关节活动度测量器、关节活动度测量器、关节活动度测量器、医用骨科双支架牵引床、下肢康复训练梯、腋拐、伸缩肘拐、助行器(四脚)、上肢滑轮吊环训练器、电子握力测试仪、下肢平衡训练平行杆、手指抓握训练器、轮椅、电子捏力计、拉力测试仪。</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护理基本技术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健康评估模拟仿真实训室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心肺听诊和腹部触诊的电子标准化病人40个。心脏、肺部听诊多媒体学习、自测与练习。胸部叩诊多媒体学习与自测。腹部触诊听诊多媒体学习与自测，精确血压测量练习。对外培训与实训</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100m 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台式电脑、服务器、交换机、仿真软件、胸、腹部检查智能模拟训练系统网络版、腹部触诊模拟仪、心电图检查模拟训练系统、胸部检查智能模拟训练系统、AED(自动体外除颤器)、AED训练机、智能化胸腹部检查心电图机、标准化病人综合评估系统。</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急救护理模拟仿真实训室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16项急救护理基本技术，12项内科、8项外科、4项儿科等专科护理基本技术及护理配合。对外培训与实训</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90m 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普通病床、治疗车、胸腔穿刺模拟人、腹腔穿刺模拟人、腰椎穿刺模拟人、骨髓穿刺模拟人、快速血糖仪及其附属装置、胰岛素注射笔、胰岛素注射联系模块、双气囊三腔管止血训练模型、三腔二囊管、床边牵引装置、心电监护仪、开放式内科护理辅助教学系统、平车、担架、夹板、、固定器具、心肺复苏训练模拟人、简易呼吸气囊、进一步生命支持训练模拟人、呼吸器、电除颤仪、监护仪、环甲膜穿刺和切开训练仿真模型、气管插管训练模型、喉镜、中心静脉穿刺置管术训练仿真模型或PICC训练仿真模型、抢救车、心电图机、复苏呼吸气囊、模拟重症监护病房(ICU)教学系统(模拟中心监护站)、成人护理人、换药车、创伤护理模拟人、局部创伤模型、闭式引流拔管换药模型、瘘管造口术护理模型、鼻饲与洗胃模型、胃肠减压吸引器、外科打结技能训练模型、外科基本技能训练模型、多技能外科训练组合模型、骨科牵引床、开放式外科护理辅助教学系统、AED模拟除颤仪、AED自动体外除颤仪、医用除颤仪监护仪、呼吸机、医用电动气压止血带、心肺复苏模拟人。</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妇产科护理实训室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1.产科实验：①骨盆构成与测量（2）胎产式、胎先露、胎方位（3）四步触诊、骨盆测量（4）外阴消毒与铺巾（5）分娩机转与接生（6）新生儿沐浴（7）助产术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2.妇科实验：①妇科及妇科特殊检查（2）妇科常用冲洗（3）妇科治疗及常用手术的护理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 完成母婴护理、幼儿照护、健康照护师职业技能等级证书培训。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4.对外培训：助产人员规范化岗位培训</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90m2</w:t>
            </w:r>
          </w:p>
        </w:tc>
        <w:tc>
          <w:tcPr>
            <w:tcW w:w="29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出生婴儿模型、高级妇科检查模型、高级计划生育教育模型、高级会阴切开缝合技能训练模型、高级人工流产模拟子宫模型、高级透明刮宫模型、高级难产示教训练模型、儿童股静脉与股动脉穿刺训练模型、高级婴儿头部静脉穿刺训练模型(双侧)、新生儿呼吸气囊。</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助产学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助产综合技能</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母婴护理模拟仿真实训室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12项助产护理、8项妇科护理技术、7项新生儿护理技术。完成母婴护理、幼儿照护、健康照护师职业技能等级证书培训与母婴护理X证书考核</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女性骨盆模型、男性骨盆模型、高级电脑孕妇检查模型、分娩机制示教模型、出生婴儿模型、高级妇科检查模型、高级计划生育教育模型、高级会阴切开缝合技能训练模型、高级人工流产模拟子宫模型、高级透明刮宫模型、高级难产示教训练模型、儿童股静脉与股动脉穿刺训练模型、高级婴儿头部静脉穿刺训练模型(双侧)、新生儿呼吸气囊、病人监护仪。</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助产学</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外科护理模拟仿真实训室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12项外科手术护理技术、8项妇产科护理技术、5项儿童护理技术</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工作人员更衣通道、换鞋凳、无影灯、手术床、教学麻醉呼吸模拟机、多参数监护仪、洗手池、无菌手术衣、常用手术器械包、器械柜、手术器械台、术前无菌操作训练仿真模型人、常用手术器械包、医学器械储物柜。</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妇产科护理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社区老年护理服务中心</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16项老年护理、18项社区护理、20项康复护理技术。完成老年照护、失智老年人照护、老年人能力评估师职业技能等级证书培训与老年照护、X证书考核、失智老年人照护、老年人能力评估等证书考核</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384.42</w:t>
            </w:r>
            <w:r>
              <w:rPr>
                <w:rFonts w:hint="eastAsia" w:ascii="仿宋" w:hAnsi="仿宋" w:eastAsia="仿宋" w:cs="仿宋"/>
                <w:snapToGrid w:val="0"/>
                <w:color w:val="auto"/>
                <w:spacing w:val="0"/>
                <w:kern w:val="0"/>
                <w:sz w:val="21"/>
                <w:szCs w:val="21"/>
                <w:highlight w:val="none"/>
                <w:lang w:val="en-US" w:eastAsia="zh-CN"/>
              </w:rPr>
              <w:t>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床、高级胰岛素注射练习模块、约束带、老年人坐式便椅、手杖、腋杖、前臂杖、框式助行架、轮式助行器、高龄者模拟体验装置、老年膳食分析与营养评价系统、扶手配件组、辅助沟通器、木插板、套圈(立式)、分指板、手指阶梯、手指插球器、升降式OT桌(液压)、模拟作业训练板、模拟作业工具、磁力橡棋盘、训练用阶梯、四肢被动训练器、医用器械储物柜、操作台、手持式电子肌力测定仪、运动心肺功能测试系统、系列弹力带、握力计、捏力计及背拉力计、手持式动态测力计、铅垂线、通用量角器/电子量角器、指关节测量器、脊柱活动测量器、PT 训练床/PT 垫/PT 凳、多体位治疗床、音叉、平衡功能评定与训练系统、步态分析系统、袖带式血压计、听诊器、运动心电测试系统、平行杠、多体位手法治疗床、肩梯、肋木、滑轮吊环训练器、肩关节旋转训练器、前臂旋转训练器、肘关节牵引训练椅、腕关节屈伸训练器、腕关节回旋训练器、髋关节训练器、踝关节矫正板、踝关节屈伸训练器、踏步器、功能牵引网架及附件、悬吊训练装置、上肢 CPM 治疗仪/下肢 CPM 治疗仪、股四头肌训练器、上肢推举训练器、上/下肢训练器、电动起立床、高背轮椅、站立架、辅助步行训练器、双轮助行器、训练用阶梯、功率自行车。</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护理综合技能培训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现代化高仿真血管穿刺实训室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皮下注射，静脉注射，</w:t>
            </w:r>
            <w:r>
              <w:rPr>
                <w:rFonts w:hint="default" w:ascii="仿宋" w:hAnsi="仿宋" w:eastAsia="仿宋" w:cs="仿宋"/>
                <w:snapToGrid w:val="0"/>
                <w:color w:val="auto"/>
                <w:spacing w:val="0"/>
                <w:kern w:val="0"/>
                <w:sz w:val="21"/>
                <w:szCs w:val="21"/>
                <w:highlight w:val="none"/>
                <w:lang w:val="en-US" w:eastAsia="zh-CN"/>
              </w:rPr>
              <w:t>静脉输液、</w:t>
            </w:r>
            <w:r>
              <w:rPr>
                <w:rFonts w:hint="eastAsia" w:ascii="仿宋" w:hAnsi="仿宋" w:eastAsia="仿宋" w:cs="仿宋"/>
                <w:snapToGrid w:val="0"/>
                <w:color w:val="auto"/>
                <w:spacing w:val="0"/>
                <w:kern w:val="0"/>
                <w:sz w:val="21"/>
                <w:szCs w:val="21"/>
                <w:highlight w:val="none"/>
                <w:lang w:val="en-US" w:eastAsia="zh-CN"/>
              </w:rPr>
              <w:t>输血，等</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127.79</w:t>
            </w:r>
            <w:r>
              <w:rPr>
                <w:rFonts w:hint="eastAsia" w:ascii="仿宋" w:hAnsi="仿宋" w:eastAsia="仿宋" w:cs="仿宋"/>
                <w:snapToGrid w:val="0"/>
                <w:color w:val="auto"/>
                <w:spacing w:val="0"/>
                <w:kern w:val="0"/>
                <w:sz w:val="21"/>
                <w:szCs w:val="21"/>
                <w:highlight w:val="none"/>
                <w:lang w:val="en-US" w:eastAsia="zh-CN"/>
              </w:rPr>
              <w:t>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微电脑智能高仿真血管穿刺模型主控台</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高级电动分流式全功能手臂静脉输液练习模型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高级电动脉搏式成人足背动脉及静脉穿刺练习模型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高仿真半身成人颈内、颈外、颈动脉穿刺、置管练习及考试模型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高仿真半身成人股部静脉及动脉穿刺、置管练习及考试模型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高级电动分流式智能婴儿头皮静脉输液模型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高级电动脉搏式小儿颈部、股部动脉及深静脉穿刺练习模型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高级电动脉搏式小儿手臂动脉及静脉穿刺练习模型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高仿真婴儿股部静脉及动脉穿刺练习及考试模型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高级电动脉搏式小儿足背动脉及静脉穿刺练习模型</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86寸全贴合纳米触摸智能黑板</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网络服务器平台系统</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网络服务器</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理实一体化人体血管穿刺教学系统</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智能信息采集系统</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多媒体讲台</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模型储存柜</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ABS治疗车</w:t>
            </w:r>
            <w:r>
              <w:rPr>
                <w:rFonts w:hint="default" w:ascii="仿宋" w:hAnsi="仿宋" w:eastAsia="仿宋" w:cs="仿宋"/>
                <w:snapToGrid w:val="0"/>
                <w:color w:val="auto"/>
                <w:spacing w:val="0"/>
                <w:kern w:val="0"/>
                <w:sz w:val="21"/>
                <w:szCs w:val="21"/>
                <w:highlight w:val="none"/>
                <w:lang w:val="en-US" w:eastAsia="zh-CN"/>
              </w:rPr>
              <w:t>、</w:t>
            </w:r>
            <w:r>
              <w:rPr>
                <w:rFonts w:hint="eastAsia" w:ascii="仿宋" w:hAnsi="仿宋" w:eastAsia="仿宋" w:cs="仿宋"/>
                <w:snapToGrid w:val="0"/>
                <w:color w:val="auto"/>
                <w:spacing w:val="0"/>
                <w:kern w:val="0"/>
                <w:sz w:val="21"/>
                <w:szCs w:val="21"/>
                <w:highlight w:val="none"/>
                <w:lang w:val="en-US" w:eastAsia="zh-CN"/>
              </w:rPr>
              <w:t>高清摄像头</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基本护理实务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模拟病房（基础护理）实训室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了解生命体征，口服给药，皮下注射，静脉输液，输血，术前处理，气管内抽吸，气管切开术管理等，并实践适合患者情况的关键基础护理技术</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default" w:ascii="仿宋" w:hAnsi="仿宋" w:eastAsia="仿宋" w:cs="仿宋"/>
                <w:snapToGrid w:val="0"/>
                <w:color w:val="auto"/>
                <w:spacing w:val="0"/>
                <w:kern w:val="0"/>
                <w:sz w:val="21"/>
                <w:szCs w:val="21"/>
                <w:highlight w:val="none"/>
                <w:lang w:val="en-US" w:eastAsia="zh-CN"/>
              </w:rPr>
              <w:t>589.05</w:t>
            </w:r>
            <w:r>
              <w:rPr>
                <w:rFonts w:hint="eastAsia" w:ascii="仿宋" w:hAnsi="仿宋" w:eastAsia="仿宋" w:cs="仿宋"/>
                <w:snapToGrid w:val="0"/>
                <w:color w:val="auto"/>
                <w:spacing w:val="0"/>
                <w:kern w:val="0"/>
                <w:sz w:val="21"/>
                <w:szCs w:val="21"/>
                <w:highlight w:val="none"/>
                <w:lang w:val="en-US" w:eastAsia="zh-CN"/>
              </w:rPr>
              <w:t>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历车、普通病床、多功能病床、床旁桌、床旁椅、床上用品、平车、轮椅、担架、约束带、拐杖、手杖、持物钳、置钳筒、治疗碗、治疗盘、有盖罐、循环风紫外线空气消毒器、治疗车、晨间护理车、高级成人女性护理人、牙模型、玻璃体温计、红外线体温计、电子血压计、汞柱式血压计、听诊器、鼻饲与洗胃模型、药柜、发药车、超声雾化器、静脉注射手臂模型、静脉注射泵、输液泵、输液架、电动吸引器、氧气瓶、氧气瓶推车、立式氧气表。</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核心基础护理实践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模拟实训室</w:t>
            </w:r>
          </w:p>
        </w:tc>
        <w:tc>
          <w:tcPr>
            <w:tcW w:w="21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对怀孕、分娩、产后处理及女性生殖器健康问题为对象进行必要的实习</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120m2</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高级全功能护理人训练模型(女性)、高级全功能护理人模型(带血压测量)、高级难产示教训练模型</w:t>
            </w:r>
            <w:r>
              <w:rPr>
                <w:rFonts w:hint="eastAsia" w:ascii="仿宋" w:hAnsi="仿宋" w:eastAsia="仿宋" w:cs="仿宋"/>
                <w:snapToGrid w:val="0"/>
                <w:color w:val="auto"/>
                <w:spacing w:val="0"/>
                <w:kern w:val="0"/>
                <w:sz w:val="21"/>
                <w:szCs w:val="21"/>
                <w:highlight w:val="none"/>
                <w:lang w:val="en-US" w:eastAsia="zh-CN"/>
              </w:rPr>
              <w:tab/>
            </w:r>
            <w:r>
              <w:rPr>
                <w:rFonts w:hint="eastAsia" w:ascii="仿宋" w:hAnsi="仿宋" w:eastAsia="仿宋" w:cs="仿宋"/>
                <w:snapToGrid w:val="0"/>
                <w:color w:val="auto"/>
                <w:spacing w:val="0"/>
                <w:kern w:val="0"/>
                <w:sz w:val="21"/>
                <w:szCs w:val="21"/>
                <w:highlight w:val="none"/>
                <w:lang w:val="en-US" w:eastAsia="zh-CN"/>
              </w:rPr>
              <w:t>、男性避孕套练习模型、高级电脑孕妇检查模型、分娩机转模型。</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女性健康护理学实习</w:t>
            </w:r>
          </w:p>
        </w:tc>
      </w:tr>
    </w:tbl>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val="zh-TW" w:eastAsia="zh-TW" w:bidi="zh-TW"/>
        </w:rPr>
      </w:pPr>
      <w:bookmarkStart w:id="11" w:name="bookmark24"/>
      <w:r>
        <w:rPr>
          <w:rFonts w:hint="eastAsia" w:ascii="楷体" w:hAnsi="楷体" w:eastAsia="楷体" w:cs="楷体"/>
          <w:b w:val="0"/>
          <w:bCs w:val="0"/>
          <w:color w:val="auto"/>
          <w:spacing w:val="0"/>
          <w:kern w:val="0"/>
          <w:sz w:val="28"/>
          <w:szCs w:val="28"/>
          <w:highlight w:val="none"/>
          <w:lang w:val="zh-TW" w:eastAsia="zh-TW" w:bidi="zh-TW"/>
        </w:rPr>
        <w:t>（</w:t>
      </w:r>
      <w:bookmarkEnd w:id="11"/>
      <w:r>
        <w:rPr>
          <w:rFonts w:hint="eastAsia" w:ascii="楷体" w:hAnsi="楷体" w:eastAsia="楷体" w:cs="楷体"/>
          <w:b w:val="0"/>
          <w:bCs w:val="0"/>
          <w:color w:val="auto"/>
          <w:spacing w:val="0"/>
          <w:kern w:val="0"/>
          <w:sz w:val="28"/>
          <w:szCs w:val="28"/>
          <w:highlight w:val="none"/>
          <w:lang w:bidi="zh-TW"/>
        </w:rPr>
        <w:t>四</w:t>
      </w:r>
      <w:r>
        <w:rPr>
          <w:rFonts w:hint="eastAsia" w:ascii="楷体" w:hAnsi="楷体" w:eastAsia="楷体" w:cs="楷体"/>
          <w:b w:val="0"/>
          <w:bCs w:val="0"/>
          <w:color w:val="auto"/>
          <w:spacing w:val="0"/>
          <w:kern w:val="0"/>
          <w:sz w:val="28"/>
          <w:szCs w:val="28"/>
          <w:highlight w:val="none"/>
          <w:lang w:val="zh-TW" w:eastAsia="zh-TW" w:bidi="zh-TW"/>
        </w:rPr>
        <w:t>）教学资源</w:t>
      </w:r>
    </w:p>
    <w:p>
      <w:pPr>
        <w:pStyle w:val="4"/>
        <w:keepNext w:val="0"/>
        <w:keepLines w:val="0"/>
        <w:pageBreakBefore w:val="0"/>
        <w:wordWrap/>
        <w:overflowPunct/>
        <w:topLinePunct w:val="0"/>
        <w:bidi w:val="0"/>
        <w:spacing w:line="440" w:lineRule="exact"/>
        <w:ind w:firstLine="560" w:firstLineChars="200"/>
        <w:jc w:val="both"/>
        <w:rPr>
          <w:rFonts w:ascii="仿宋" w:hAnsi="仿宋" w:eastAsia="仿宋" w:cs="仿宋"/>
          <w:b w:val="0"/>
          <w:bCs w:val="0"/>
          <w:color w:val="auto"/>
          <w:spacing w:val="0"/>
          <w:sz w:val="28"/>
          <w:szCs w:val="28"/>
          <w:highlight w:val="none"/>
          <w:lang w:bidi="zh-TW"/>
        </w:rPr>
      </w:pPr>
      <w:r>
        <w:rPr>
          <w:rFonts w:hint="eastAsia" w:ascii="仿宋" w:hAnsi="仿宋" w:eastAsia="仿宋" w:cs="仿宋"/>
          <w:b w:val="0"/>
          <w:bCs w:val="0"/>
          <w:color w:val="auto"/>
          <w:spacing w:val="0"/>
          <w:sz w:val="28"/>
          <w:szCs w:val="28"/>
          <w:highlight w:val="none"/>
          <w:lang w:bidi="zh-TW"/>
        </w:rPr>
        <w:t>1.教材选用</w:t>
      </w:r>
    </w:p>
    <w:p>
      <w:pPr>
        <w:pStyle w:val="11"/>
        <w:keepNext w:val="0"/>
        <w:keepLines w:val="0"/>
        <w:pageBreakBefore w:val="0"/>
        <w:wordWrap/>
        <w:overflowPunct/>
        <w:topLinePunct w:val="0"/>
        <w:bidi w:val="0"/>
        <w:spacing w:line="440" w:lineRule="exact"/>
        <w:ind w:firstLine="618"/>
        <w:jc w:val="both"/>
        <w:rPr>
          <w:rFonts w:ascii="仿宋" w:hAnsi="仿宋" w:eastAsia="仿宋" w:cs="仿宋"/>
          <w:color w:val="auto"/>
          <w:spacing w:val="0"/>
          <w:highlight w:val="none"/>
          <w:lang w:eastAsia="zh-CN"/>
        </w:rPr>
      </w:pPr>
      <w:r>
        <w:rPr>
          <w:rFonts w:hint="eastAsia" w:ascii="仿宋" w:hAnsi="仿宋" w:eastAsia="仿宋" w:cs="仿宋"/>
          <w:color w:val="auto"/>
          <w:spacing w:val="0"/>
          <w:kern w:val="0"/>
          <w:highlight w:val="none"/>
          <w:lang w:val="en-US" w:eastAsia="zh-CN"/>
        </w:rPr>
        <w:t xml:space="preserve">坚持优先选用国家级规划教材。学校建立由专业教师、行业专家和教研人员等组成的院系两级教材选用委员会，经过固定程序遴选评议，确保高质量、有特色的优秀教材进入教学课堂。 </w:t>
      </w:r>
    </w:p>
    <w:p>
      <w:pPr>
        <w:keepNext w:val="0"/>
        <w:keepLines w:val="0"/>
        <w:pageBreakBefore w:val="0"/>
        <w:wordWrap/>
        <w:overflowPunct/>
        <w:topLinePunct w:val="0"/>
        <w:bidi w:val="0"/>
        <w:spacing w:line="440" w:lineRule="exact"/>
        <w:ind w:firstLine="560" w:firstLineChars="200"/>
        <w:jc w:val="both"/>
        <w:rPr>
          <w:rFonts w:ascii="仿宋" w:hAnsi="仿宋" w:eastAsia="仿宋" w:cs="仿宋"/>
          <w:b w:val="0"/>
          <w:bCs w:val="0"/>
          <w:color w:val="auto"/>
          <w:spacing w:val="0"/>
          <w:sz w:val="28"/>
          <w:szCs w:val="28"/>
          <w:highlight w:val="none"/>
          <w:lang w:bidi="zh-TW"/>
        </w:rPr>
      </w:pPr>
      <w:r>
        <w:rPr>
          <w:rFonts w:hint="eastAsia" w:ascii="仿宋" w:hAnsi="仿宋" w:eastAsia="仿宋" w:cs="仿宋"/>
          <w:b w:val="0"/>
          <w:bCs w:val="0"/>
          <w:color w:val="auto"/>
          <w:spacing w:val="0"/>
          <w:sz w:val="28"/>
          <w:szCs w:val="28"/>
          <w:highlight w:val="none"/>
          <w:lang w:bidi="zh-TW"/>
        </w:rPr>
        <w:t xml:space="preserve">2.图书文献配备 </w:t>
      </w:r>
    </w:p>
    <w:p>
      <w:pPr>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kern w:val="0"/>
          <w:sz w:val="28"/>
          <w:szCs w:val="28"/>
          <w:highlight w:val="none"/>
          <w:lang w:bidi="zh-TW"/>
        </w:rPr>
      </w:pPr>
      <w:r>
        <w:rPr>
          <w:rFonts w:hint="eastAsia" w:ascii="仿宋" w:hAnsi="仿宋" w:eastAsia="仿宋" w:cs="仿宋"/>
          <w:color w:val="auto"/>
          <w:spacing w:val="0"/>
          <w:kern w:val="0"/>
          <w:sz w:val="28"/>
          <w:szCs w:val="28"/>
          <w:highlight w:val="none"/>
          <w:lang w:bidi="zh-TW"/>
        </w:rPr>
        <w:t>学校图书馆资源配备能满足人才培养、专业建设、教科研等工作的需要，方便师生查询、借阅。其中，专业类图书文献主要包括：行业政策法规资料、有关职业标准，有关护理相关的图书等。</w:t>
      </w:r>
    </w:p>
    <w:p>
      <w:pPr>
        <w:keepNext w:val="0"/>
        <w:keepLines w:val="0"/>
        <w:pageBreakBefore w:val="0"/>
        <w:wordWrap/>
        <w:overflowPunct/>
        <w:topLinePunct w:val="0"/>
        <w:bidi w:val="0"/>
        <w:spacing w:line="440" w:lineRule="exact"/>
        <w:ind w:firstLine="560" w:firstLineChars="200"/>
        <w:jc w:val="both"/>
        <w:rPr>
          <w:rFonts w:ascii="仿宋" w:hAnsi="仿宋" w:eastAsia="仿宋" w:cs="仿宋"/>
          <w:b w:val="0"/>
          <w:bCs w:val="0"/>
          <w:color w:val="auto"/>
          <w:spacing w:val="0"/>
          <w:sz w:val="28"/>
          <w:szCs w:val="28"/>
          <w:highlight w:val="none"/>
          <w:lang w:bidi="zh-TW"/>
        </w:rPr>
      </w:pPr>
      <w:r>
        <w:rPr>
          <w:rFonts w:hint="eastAsia" w:ascii="仿宋" w:hAnsi="仿宋" w:eastAsia="仿宋" w:cs="仿宋"/>
          <w:b w:val="0"/>
          <w:bCs w:val="0"/>
          <w:color w:val="auto"/>
          <w:spacing w:val="0"/>
          <w:sz w:val="28"/>
          <w:szCs w:val="28"/>
          <w:highlight w:val="none"/>
          <w:lang w:bidi="zh-TW"/>
        </w:rPr>
        <w:t xml:space="preserve">3.数字资源配备 </w:t>
      </w:r>
    </w:p>
    <w:p>
      <w:pPr>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kern w:val="0"/>
          <w:sz w:val="28"/>
          <w:szCs w:val="28"/>
          <w:highlight w:val="none"/>
          <w:lang w:bidi="zh-TW"/>
        </w:rPr>
      </w:pPr>
      <w:r>
        <w:rPr>
          <w:rFonts w:hint="eastAsia" w:ascii="仿宋" w:hAnsi="仿宋" w:eastAsia="仿宋" w:cs="仿宋"/>
          <w:color w:val="auto"/>
          <w:spacing w:val="0"/>
          <w:kern w:val="0"/>
          <w:sz w:val="28"/>
          <w:szCs w:val="28"/>
          <w:highlight w:val="none"/>
          <w:lang w:bidi="zh-TW"/>
        </w:rPr>
        <w:t xml:space="preserve">教学资源库和网络教学平台的建设内容主要包括所有课程的教学大纲、授课计划、电子教案、教学课件、授课过程录像、课程导学、案例习题、参考文献、师生互动空间等。通过教学资源平台的建设，进一步规范教育教学的要求，实现资源的共享，为师生打造更完善的教学条件，也为学生的学习和进一步发展提供资源检索、信息查询、资料下载、学习辅导、专业咨询、进修培训、就业指导等服务。 </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bidi="zh-TW"/>
        </w:rPr>
      </w:pPr>
      <w:r>
        <w:rPr>
          <w:rFonts w:hint="eastAsia" w:ascii="楷体" w:hAnsi="楷体" w:eastAsia="楷体" w:cs="楷体"/>
          <w:b w:val="0"/>
          <w:bCs w:val="0"/>
          <w:color w:val="auto"/>
          <w:spacing w:val="0"/>
          <w:kern w:val="0"/>
          <w:sz w:val="28"/>
          <w:szCs w:val="28"/>
          <w:highlight w:val="none"/>
          <w:lang w:bidi="zh-TW"/>
        </w:rPr>
        <w:t>（五）人才培养模式</w:t>
      </w:r>
    </w:p>
    <w:p>
      <w:pPr>
        <w:pStyle w:val="11"/>
        <w:keepNext w:val="0"/>
        <w:keepLines w:val="0"/>
        <w:pageBreakBefore w:val="0"/>
        <w:numPr>
          <w:ilvl w:val="0"/>
          <w:numId w:val="2"/>
        </w:numPr>
        <w:tabs>
          <w:tab w:val="left" w:pos="1576"/>
        </w:tabs>
        <w:wordWrap/>
        <w:overflowPunct/>
        <w:topLinePunct w:val="0"/>
        <w:bidi w:val="0"/>
        <w:spacing w:line="440" w:lineRule="exact"/>
        <w:ind w:firstLine="560" w:firstLineChars="200"/>
        <w:jc w:val="both"/>
        <w:rPr>
          <w:rFonts w:ascii="仿宋" w:hAnsi="仿宋" w:eastAsia="仿宋" w:cs="仿宋"/>
          <w:color w:val="auto"/>
          <w:spacing w:val="0"/>
          <w:highlight w:val="none"/>
          <w:lang w:val="en-US" w:eastAsia="zh-CN"/>
        </w:rPr>
      </w:pPr>
      <w:r>
        <w:rPr>
          <w:rFonts w:hint="eastAsia" w:ascii="仿宋" w:hAnsi="仿宋" w:eastAsia="仿宋" w:cs="仿宋"/>
          <w:color w:val="auto"/>
          <w:spacing w:val="0"/>
          <w:highlight w:val="none"/>
          <w:lang w:val="en-US" w:eastAsia="zh-CN"/>
        </w:rPr>
        <w:t>教学方法要依据各门课程的知识、技能要求，采用灵活多样的方式方法，如项目式、任务驱动式等方法，利用直观演示、双边教学、头脑风暴、小组讨论、模拟练习等手段开展教学。</w:t>
      </w:r>
    </w:p>
    <w:p>
      <w:pPr>
        <w:pStyle w:val="11"/>
        <w:keepNext w:val="0"/>
        <w:keepLines w:val="0"/>
        <w:pageBreakBefore w:val="0"/>
        <w:numPr>
          <w:ilvl w:val="0"/>
          <w:numId w:val="2"/>
        </w:numPr>
        <w:tabs>
          <w:tab w:val="left" w:pos="1576"/>
        </w:tabs>
        <w:wordWrap/>
        <w:overflowPunct/>
        <w:topLinePunct w:val="0"/>
        <w:bidi w:val="0"/>
        <w:spacing w:line="440" w:lineRule="exact"/>
        <w:ind w:firstLine="560" w:firstLineChars="200"/>
        <w:jc w:val="both"/>
        <w:rPr>
          <w:rFonts w:ascii="仿宋" w:hAnsi="仿宋" w:eastAsia="仿宋" w:cs="仿宋"/>
          <w:color w:val="auto"/>
          <w:spacing w:val="0"/>
          <w:highlight w:val="none"/>
          <w:lang w:val="en-US" w:eastAsia="zh-CN"/>
        </w:rPr>
      </w:pPr>
      <w:r>
        <w:rPr>
          <w:rFonts w:hint="eastAsia" w:ascii="仿宋" w:hAnsi="仿宋" w:eastAsia="仿宋" w:cs="仿宋"/>
          <w:color w:val="auto"/>
          <w:spacing w:val="0"/>
          <w:highlight w:val="none"/>
          <w:lang w:val="en-US" w:eastAsia="zh-CN"/>
        </w:rPr>
        <w:t>教学内容应突出必需、适用、实用的原则，强调理论教学与实践训练并重，要以“应用”为主旨；要关注学生职业能力的培养，课堂教学和实验实训并以学生为中心，重视学生非智力因素的培养，使其职业技能达到从事相应职业岗位（岗位群）的要求。</w:t>
      </w:r>
    </w:p>
    <w:p>
      <w:pPr>
        <w:pStyle w:val="11"/>
        <w:keepNext w:val="0"/>
        <w:keepLines w:val="0"/>
        <w:pageBreakBefore w:val="0"/>
        <w:numPr>
          <w:ilvl w:val="0"/>
          <w:numId w:val="2"/>
        </w:numPr>
        <w:tabs>
          <w:tab w:val="left" w:pos="1576"/>
        </w:tabs>
        <w:wordWrap/>
        <w:overflowPunct/>
        <w:topLinePunct w:val="0"/>
        <w:bidi w:val="0"/>
        <w:spacing w:line="440" w:lineRule="exact"/>
        <w:ind w:firstLine="560" w:firstLineChars="200"/>
        <w:jc w:val="both"/>
        <w:rPr>
          <w:rFonts w:ascii="仿宋" w:hAnsi="仿宋" w:eastAsia="仿宋" w:cs="仿宋"/>
          <w:color w:val="auto"/>
          <w:spacing w:val="0"/>
          <w:highlight w:val="none"/>
          <w:lang w:val="en-US" w:eastAsia="zh-CN"/>
        </w:rPr>
      </w:pPr>
      <w:r>
        <w:rPr>
          <w:rFonts w:hint="eastAsia" w:ascii="仿宋" w:hAnsi="仿宋" w:eastAsia="仿宋" w:cs="仿宋"/>
          <w:color w:val="auto"/>
          <w:spacing w:val="0"/>
          <w:highlight w:val="none"/>
          <w:lang w:val="en-US" w:eastAsia="zh-CN"/>
        </w:rPr>
        <w:t>加强课程思政专业教学的融合，以培养德技并修、工学结合的复合型技术技能人才为目标，结合行业最新理论和技术，紧紧围绕国家高职教育的政策法规，密切关注新的教学方法，并进行探索和实践。</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bidi="zh-TW"/>
        </w:rPr>
      </w:pPr>
      <w:r>
        <w:rPr>
          <w:rFonts w:hint="eastAsia" w:ascii="楷体" w:hAnsi="楷体" w:eastAsia="楷体" w:cs="楷体"/>
          <w:b w:val="0"/>
          <w:bCs w:val="0"/>
          <w:color w:val="auto"/>
          <w:spacing w:val="0"/>
          <w:kern w:val="0"/>
          <w:sz w:val="28"/>
          <w:szCs w:val="28"/>
          <w:highlight w:val="none"/>
          <w:lang w:bidi="zh-TW"/>
        </w:rPr>
        <w:t xml:space="preserve">（六）学习评价 </w:t>
      </w:r>
    </w:p>
    <w:p>
      <w:pPr>
        <w:pStyle w:val="4"/>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kern w:val="0"/>
          <w:sz w:val="28"/>
          <w:szCs w:val="28"/>
          <w:highlight w:val="none"/>
          <w:lang w:bidi="zh-TW"/>
        </w:rPr>
      </w:pPr>
      <w:r>
        <w:rPr>
          <w:rFonts w:hint="eastAsia" w:ascii="仿宋" w:hAnsi="仿宋" w:eastAsia="仿宋" w:cs="仿宋"/>
          <w:color w:val="auto"/>
          <w:spacing w:val="0"/>
          <w:kern w:val="0"/>
          <w:sz w:val="28"/>
          <w:szCs w:val="28"/>
          <w:highlight w:val="none"/>
          <w:lang w:bidi="zh-TW"/>
        </w:rPr>
        <w:t>结合本专业培养目标和以人为本的发展理念，建立科学的评价标准。学习评价体现评价主体、评价方式、评价过程的多元化，注意吸收家长、行业和企业参与。注重校内评价与校外评价相结合，职业技能鉴定与学业考核相结合，教师评价、学生互评与自我评价相结合，过程性评价与结果性评价结合。学习评价采用学习过程评价、作业完成情况评价、实际操作评价、期末综合考核评价等多种方式。根据不同课程性质和教学要求，可以通过笔试、口试、实操、项目作业等方法，考核学生的专业知识、专业技能和工作规范等方面的学习水平。不仅关注学生对知识的理解和技能的掌握，更关注在实践中运用知识与解决实际问题的能力水平，重视节能环保、绿色发展、规范操作、安全生产等职业素质的形成。</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bidi="zh-TW"/>
        </w:rPr>
      </w:pPr>
      <w:r>
        <w:rPr>
          <w:rFonts w:hint="eastAsia" w:ascii="楷体" w:hAnsi="楷体" w:eastAsia="楷体" w:cs="楷体"/>
          <w:b w:val="0"/>
          <w:bCs w:val="0"/>
          <w:color w:val="auto"/>
          <w:spacing w:val="0"/>
          <w:kern w:val="0"/>
          <w:sz w:val="28"/>
          <w:szCs w:val="28"/>
          <w:highlight w:val="none"/>
          <w:lang w:bidi="zh-TW"/>
        </w:rPr>
        <w:t>（七）质量保障</w:t>
      </w:r>
    </w:p>
    <w:p>
      <w:pPr>
        <w:pStyle w:val="4"/>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highlight w:val="none"/>
        </w:rPr>
      </w:pPr>
      <w:r>
        <w:rPr>
          <w:rFonts w:hint="eastAsia" w:ascii="仿宋" w:hAnsi="仿宋" w:eastAsia="仿宋" w:cs="仿宋"/>
          <w:color w:val="auto"/>
          <w:spacing w:val="0"/>
          <w:kern w:val="0"/>
          <w:sz w:val="28"/>
          <w:szCs w:val="28"/>
          <w:highlight w:val="none"/>
          <w:lang w:bidi="zh-TW"/>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定期检查教学课件、教案及计划执行情况；组织说课、课件制作比赛；每学期进行一次评学评教活动；组织安排期末考试、技能大赛、技能鉴定和毕业考试工作。根据学院教学整改机制，建立了相关的专业建设和教学质量诊断与改进机制，健全专业教学质量监控管理制度，完善了课堂教学、教学评价、实习实训、毕业设计以及专业调研、人才培养方案更新、资源建设等方面质量标准建设，通过教学实施、过程监控、质量评价和持续改进，达成人才培养规格。建立用人单位、学生及其家长、研究机构、学前教育行业协会等利益相关方共同参与的第三方人才培养质量评价制度，对毕业生毕业后至少三年的发展轨迹进行持续追踪，将毕业生就业率、就业质量、园所满意度、创业成效等作为衡量专业人才培养质量的重要指标。专业教研组织应充分利用评价分析结果有效改进专业教学，持续提高人才培养质量。</w:t>
      </w:r>
    </w:p>
    <w:p>
      <w:pPr>
        <w:keepNext w:val="0"/>
        <w:keepLines w:val="0"/>
        <w:pageBreakBefore w:val="0"/>
        <w:wordWrap/>
        <w:overflowPunct/>
        <w:topLinePunct w:val="0"/>
        <w:bidi w:val="0"/>
        <w:spacing w:line="440" w:lineRule="exact"/>
        <w:jc w:val="both"/>
        <w:rPr>
          <w:rFonts w:hint="eastAsia" w:ascii="黑体" w:hAnsi="黑体" w:eastAsia="黑体" w:cs="仿宋"/>
          <w:b w:val="0"/>
          <w:bCs w:val="0"/>
          <w:color w:val="auto"/>
          <w:spacing w:val="0"/>
          <w:kern w:val="0"/>
          <w:sz w:val="28"/>
          <w:szCs w:val="28"/>
          <w:highlight w:val="none"/>
        </w:rPr>
      </w:pPr>
      <w:r>
        <w:rPr>
          <w:rFonts w:hint="eastAsia" w:ascii="黑体" w:hAnsi="黑体" w:eastAsia="黑体" w:cs="仿宋"/>
          <w:b w:val="0"/>
          <w:bCs w:val="0"/>
          <w:color w:val="auto"/>
          <w:spacing w:val="0"/>
          <w:kern w:val="0"/>
          <w:sz w:val="28"/>
          <w:szCs w:val="28"/>
          <w:highlight w:val="none"/>
        </w:rPr>
        <w:t>八、毕业资格与要求</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bidi="zh-TW"/>
        </w:rPr>
      </w:pPr>
      <w:r>
        <w:rPr>
          <w:rFonts w:hint="eastAsia" w:ascii="楷体" w:hAnsi="楷体" w:eastAsia="楷体" w:cs="楷体"/>
          <w:b w:val="0"/>
          <w:bCs w:val="0"/>
          <w:color w:val="auto"/>
          <w:spacing w:val="0"/>
          <w:kern w:val="0"/>
          <w:sz w:val="28"/>
          <w:szCs w:val="28"/>
          <w:highlight w:val="none"/>
          <w:lang w:bidi="zh-TW"/>
        </w:rPr>
        <w:t>（一）毕业学分要求</w:t>
      </w:r>
    </w:p>
    <w:p>
      <w:pPr>
        <w:pStyle w:val="4"/>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kern w:val="0"/>
          <w:sz w:val="28"/>
          <w:szCs w:val="28"/>
          <w:highlight w:val="none"/>
          <w:lang w:bidi="zh-TW"/>
        </w:rPr>
      </w:pPr>
      <w:r>
        <w:rPr>
          <w:rFonts w:hint="eastAsia" w:ascii="仿宋" w:hAnsi="仿宋" w:eastAsia="仿宋" w:cs="仿宋"/>
          <w:color w:val="auto"/>
          <w:spacing w:val="0"/>
          <w:kern w:val="0"/>
          <w:sz w:val="28"/>
          <w:szCs w:val="28"/>
          <w:highlight w:val="none"/>
          <w:lang w:bidi="zh-TW"/>
        </w:rPr>
        <w:t>学生通过规定年限的学习，必须修满本专业人才培养方案所规定的学分142（其中公共必修课中的体质测试成绩要求学生需要达到50分），达到本专业人才目标和培养规格的要求，方可获得毕业证书，具体见表8。</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r>
        <w:rPr>
          <w:rFonts w:hint="eastAsia" w:ascii="仿宋" w:hAnsi="仿宋" w:eastAsia="仿宋" w:cs="仿宋"/>
          <w:color w:val="auto"/>
          <w:spacing w:val="0"/>
          <w:kern w:val="0"/>
          <w:sz w:val="28"/>
          <w:szCs w:val="28"/>
          <w:highlight w:val="none"/>
          <w:lang w:val="en-US" w:eastAsia="zh-CN" w:bidi="zh-TW"/>
        </w:rPr>
        <w:t>表8.毕业资格学分要求</w:t>
      </w:r>
    </w:p>
    <w:tbl>
      <w:tblPr>
        <w:tblStyle w:val="8"/>
        <w:tblW w:w="4537" w:type="pct"/>
        <w:jc w:val="center"/>
        <w:tblLayout w:type="autofit"/>
        <w:tblCellMar>
          <w:top w:w="0" w:type="dxa"/>
          <w:left w:w="108" w:type="dxa"/>
          <w:bottom w:w="0" w:type="dxa"/>
          <w:right w:w="108" w:type="dxa"/>
        </w:tblCellMar>
      </w:tblPr>
      <w:tblGrid>
        <w:gridCol w:w="1508"/>
        <w:gridCol w:w="1460"/>
        <w:gridCol w:w="3340"/>
        <w:gridCol w:w="1811"/>
      </w:tblGrid>
      <w:tr>
        <w:tblPrEx>
          <w:tblCellMar>
            <w:top w:w="0" w:type="dxa"/>
            <w:left w:w="108" w:type="dxa"/>
            <w:bottom w:w="0" w:type="dxa"/>
            <w:right w:w="108" w:type="dxa"/>
          </w:tblCellMar>
        </w:tblPrEx>
        <w:trPr>
          <w:trHeight w:val="397" w:hRule="atLeast"/>
          <w:jc w:val="center"/>
        </w:trPr>
        <w:tc>
          <w:tcPr>
            <w:tcW w:w="9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课程属性</w:t>
            </w:r>
          </w:p>
        </w:tc>
        <w:tc>
          <w:tcPr>
            <w:tcW w:w="899"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课程类型</w:t>
            </w:r>
          </w:p>
        </w:tc>
        <w:tc>
          <w:tcPr>
            <w:tcW w:w="2056"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课程性质及类别</w:t>
            </w:r>
          </w:p>
        </w:tc>
        <w:tc>
          <w:tcPr>
            <w:tcW w:w="111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学分要求</w:t>
            </w:r>
          </w:p>
        </w:tc>
      </w:tr>
      <w:tr>
        <w:tblPrEx>
          <w:tblCellMar>
            <w:top w:w="0" w:type="dxa"/>
            <w:left w:w="108" w:type="dxa"/>
            <w:bottom w:w="0" w:type="dxa"/>
            <w:right w:w="108" w:type="dxa"/>
          </w:tblCellMar>
        </w:tblPrEx>
        <w:trPr>
          <w:trHeight w:val="397" w:hRule="atLeast"/>
          <w:jc w:val="center"/>
        </w:trPr>
        <w:tc>
          <w:tcPr>
            <w:tcW w:w="929" w:type="pct"/>
            <w:vMerge w:val="restart"/>
            <w:tcBorders>
              <w:top w:val="nil"/>
              <w:left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第一课堂</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公共课</w:t>
            </w:r>
          </w:p>
        </w:tc>
        <w:tc>
          <w:tcPr>
            <w:tcW w:w="20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公共必修课</w:t>
            </w:r>
          </w:p>
        </w:tc>
        <w:tc>
          <w:tcPr>
            <w:tcW w:w="1115"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w:t>
            </w:r>
          </w:p>
        </w:tc>
      </w:tr>
      <w:tr>
        <w:tblPrEx>
          <w:tblCellMar>
            <w:top w:w="0" w:type="dxa"/>
            <w:left w:w="108" w:type="dxa"/>
            <w:bottom w:w="0" w:type="dxa"/>
            <w:right w:w="108" w:type="dxa"/>
          </w:tblCellMar>
        </w:tblPrEx>
        <w:trPr>
          <w:trHeight w:val="397" w:hRule="atLeast"/>
          <w:jc w:val="center"/>
        </w:trPr>
        <w:tc>
          <w:tcPr>
            <w:tcW w:w="929" w:type="pct"/>
            <w:vMerge w:val="continue"/>
            <w:tcBorders>
              <w:left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0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公共任选课</w:t>
            </w:r>
          </w:p>
        </w:tc>
        <w:tc>
          <w:tcPr>
            <w:tcW w:w="1115"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r>
      <w:tr>
        <w:tblPrEx>
          <w:tblCellMar>
            <w:top w:w="0" w:type="dxa"/>
            <w:left w:w="108" w:type="dxa"/>
            <w:bottom w:w="0" w:type="dxa"/>
            <w:right w:w="108" w:type="dxa"/>
          </w:tblCellMar>
        </w:tblPrEx>
        <w:trPr>
          <w:trHeight w:val="397" w:hRule="atLeast"/>
          <w:jc w:val="center"/>
        </w:trPr>
        <w:tc>
          <w:tcPr>
            <w:tcW w:w="929" w:type="pct"/>
            <w:vMerge w:val="continue"/>
            <w:tcBorders>
              <w:left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899" w:type="pct"/>
            <w:vMerge w:val="restart"/>
            <w:tcBorders>
              <w:top w:val="single" w:color="auto" w:sz="4" w:space="0"/>
              <w:left w:val="nil"/>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专业课</w:t>
            </w:r>
          </w:p>
        </w:tc>
        <w:tc>
          <w:tcPr>
            <w:tcW w:w="20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专业必修课</w:t>
            </w:r>
          </w:p>
        </w:tc>
        <w:tc>
          <w:tcPr>
            <w:tcW w:w="1115"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default"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56</w:t>
            </w:r>
          </w:p>
        </w:tc>
      </w:tr>
      <w:tr>
        <w:tblPrEx>
          <w:tblCellMar>
            <w:top w:w="0" w:type="dxa"/>
            <w:left w:w="108" w:type="dxa"/>
            <w:bottom w:w="0" w:type="dxa"/>
            <w:right w:w="108" w:type="dxa"/>
          </w:tblCellMar>
        </w:tblPrEx>
        <w:trPr>
          <w:trHeight w:val="393" w:hRule="atLeast"/>
          <w:jc w:val="center"/>
        </w:trPr>
        <w:tc>
          <w:tcPr>
            <w:tcW w:w="929" w:type="pct"/>
            <w:vMerge w:val="continue"/>
            <w:tcBorders>
              <w:left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899" w:type="pct"/>
            <w:vMerge w:val="continue"/>
            <w:tcBorders>
              <w:left w:val="nil"/>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056"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专业选修课</w:t>
            </w:r>
          </w:p>
        </w:tc>
        <w:tc>
          <w:tcPr>
            <w:tcW w:w="1115"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r>
      <w:tr>
        <w:tblPrEx>
          <w:tblCellMar>
            <w:top w:w="0" w:type="dxa"/>
            <w:left w:w="108" w:type="dxa"/>
            <w:bottom w:w="0" w:type="dxa"/>
            <w:right w:w="108" w:type="dxa"/>
          </w:tblCellMar>
        </w:tblPrEx>
        <w:trPr>
          <w:trHeight w:val="397" w:hRule="atLeast"/>
          <w:jc w:val="center"/>
        </w:trPr>
        <w:tc>
          <w:tcPr>
            <w:tcW w:w="9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第二课堂</w:t>
            </w:r>
          </w:p>
        </w:tc>
        <w:tc>
          <w:tcPr>
            <w:tcW w:w="29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第二课堂（职业技能训练课）</w:t>
            </w:r>
          </w:p>
        </w:tc>
        <w:tc>
          <w:tcPr>
            <w:tcW w:w="111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r>
      <w:tr>
        <w:tblPrEx>
          <w:tblCellMar>
            <w:top w:w="0" w:type="dxa"/>
            <w:left w:w="108" w:type="dxa"/>
            <w:bottom w:w="0" w:type="dxa"/>
            <w:right w:w="108" w:type="dxa"/>
          </w:tblCellMar>
        </w:tblPrEx>
        <w:trPr>
          <w:trHeight w:val="397" w:hRule="atLeast"/>
          <w:jc w:val="center"/>
        </w:trPr>
        <w:tc>
          <w:tcPr>
            <w:tcW w:w="3885"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合  计</w:t>
            </w:r>
          </w:p>
        </w:tc>
        <w:tc>
          <w:tcPr>
            <w:tcW w:w="1115"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149</w:t>
            </w:r>
          </w:p>
        </w:tc>
      </w:tr>
    </w:tbl>
    <w:p>
      <w:pPr>
        <w:keepNext w:val="0"/>
        <w:keepLines w:val="0"/>
        <w:pageBreakBefore w:val="0"/>
        <w:wordWrap/>
        <w:overflowPunct/>
        <w:topLinePunct w:val="0"/>
        <w:bidi w:val="0"/>
        <w:spacing w:line="440" w:lineRule="exact"/>
        <w:jc w:val="both"/>
        <w:rPr>
          <w:rFonts w:ascii="仿宋" w:hAnsi="仿宋" w:eastAsia="仿宋" w:cs="仿宋"/>
          <w:color w:val="auto"/>
          <w:spacing w:val="0"/>
          <w:highlight w:val="none"/>
        </w:rPr>
      </w:pPr>
    </w:p>
    <w:p>
      <w:pPr>
        <w:pStyle w:val="17"/>
        <w:keepNext w:val="0"/>
        <w:keepLines w:val="0"/>
        <w:pageBreakBefore w:val="0"/>
        <w:widowControl w:val="0"/>
        <w:kinsoku/>
        <w:wordWrap/>
        <w:overflowPunct/>
        <w:topLinePunct w:val="0"/>
        <w:autoSpaceDE w:val="0"/>
        <w:autoSpaceDN/>
        <w:bidi w:val="0"/>
        <w:spacing w:line="440" w:lineRule="exact"/>
        <w:jc w:val="both"/>
        <w:textAlignment w:val="auto"/>
        <w:rPr>
          <w:rFonts w:ascii="仿宋" w:hAnsi="仿宋" w:eastAsia="仿宋" w:cs="仿宋"/>
          <w:color w:val="auto"/>
          <w:spacing w:val="0"/>
          <w:highlight w:val="none"/>
        </w:rPr>
      </w:pPr>
      <w:r>
        <w:rPr>
          <w:rFonts w:hint="eastAsia" w:ascii="仿宋" w:hAnsi="仿宋" w:eastAsia="仿宋" w:cs="仿宋"/>
          <w:color w:val="auto"/>
          <w:spacing w:val="0"/>
          <w:sz w:val="28"/>
          <w:szCs w:val="28"/>
          <w:highlight w:val="none"/>
        </w:rPr>
        <w:t>3.根据《国家学生体质健康标准》，体质健康测试成绩达50分及以上。</w:t>
      </w:r>
    </w:p>
    <w:p>
      <w:pPr>
        <w:pStyle w:val="4"/>
        <w:keepNext w:val="0"/>
        <w:keepLines w:val="0"/>
        <w:pageBreakBefore w:val="0"/>
        <w:wordWrap/>
        <w:overflowPunct/>
        <w:topLinePunct w:val="0"/>
        <w:bidi w:val="0"/>
        <w:spacing w:line="440" w:lineRule="exact"/>
        <w:ind w:firstLine="560" w:firstLineChars="200"/>
        <w:jc w:val="both"/>
        <w:rPr>
          <w:rFonts w:ascii="楷体" w:hAnsi="楷体" w:eastAsia="楷体" w:cs="楷体"/>
          <w:b w:val="0"/>
          <w:bCs w:val="0"/>
          <w:color w:val="auto"/>
          <w:spacing w:val="0"/>
          <w:kern w:val="0"/>
          <w:sz w:val="28"/>
          <w:szCs w:val="28"/>
          <w:highlight w:val="none"/>
          <w:lang w:val="zh-TW" w:bidi="zh-TW"/>
        </w:rPr>
      </w:pPr>
      <w:r>
        <w:rPr>
          <w:rFonts w:hint="eastAsia" w:ascii="楷体" w:hAnsi="楷体" w:eastAsia="楷体" w:cs="楷体"/>
          <w:b w:val="0"/>
          <w:bCs w:val="0"/>
          <w:color w:val="auto"/>
          <w:spacing w:val="0"/>
          <w:kern w:val="0"/>
          <w:sz w:val="28"/>
          <w:szCs w:val="28"/>
          <w:highlight w:val="none"/>
          <w:lang w:val="zh-TW" w:bidi="zh-TW"/>
        </w:rPr>
        <w:t>（二）职业资格证书要求</w:t>
      </w:r>
    </w:p>
    <w:p>
      <w:pPr>
        <w:pStyle w:val="4"/>
        <w:keepNext w:val="0"/>
        <w:keepLines w:val="0"/>
        <w:pageBreakBefore w:val="0"/>
        <w:wordWrap/>
        <w:overflowPunct/>
        <w:topLinePunct w:val="0"/>
        <w:bidi w:val="0"/>
        <w:spacing w:line="440" w:lineRule="exact"/>
        <w:ind w:firstLine="560" w:firstLineChars="200"/>
        <w:jc w:val="both"/>
        <w:rPr>
          <w:rFonts w:ascii="仿宋" w:hAnsi="仿宋" w:eastAsia="仿宋" w:cs="仿宋"/>
          <w:color w:val="auto"/>
          <w:spacing w:val="0"/>
          <w:kern w:val="0"/>
          <w:sz w:val="28"/>
          <w:szCs w:val="28"/>
          <w:highlight w:val="none"/>
          <w:lang w:bidi="zh-TW"/>
        </w:rPr>
      </w:pPr>
      <w:r>
        <w:rPr>
          <w:rFonts w:hint="eastAsia" w:ascii="仿宋" w:hAnsi="仿宋" w:eastAsia="仿宋" w:cs="仿宋"/>
          <w:color w:val="auto"/>
          <w:spacing w:val="0"/>
          <w:kern w:val="0"/>
          <w:sz w:val="28"/>
          <w:szCs w:val="28"/>
          <w:highlight w:val="none"/>
          <w:lang w:bidi="zh-TW"/>
        </w:rPr>
        <w:t>鼓励学生根据自己的兴趣和未来职业发展取向，参加职业技能、职业资格或知名度高的行业企业证书认定考试，获取相关证书获取一项即可毕业，为将来就业、创业打好基础，具体见上述表2。</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r>
        <w:rPr>
          <w:rFonts w:hint="eastAsia" w:ascii="仿宋" w:hAnsi="仿宋" w:eastAsia="仿宋" w:cs="仿宋"/>
          <w:color w:val="auto"/>
          <w:spacing w:val="0"/>
          <w:kern w:val="0"/>
          <w:sz w:val="28"/>
          <w:szCs w:val="28"/>
          <w:highlight w:val="none"/>
          <w:lang w:val="en-US" w:eastAsia="zh-CN" w:bidi="zh-TW"/>
        </w:rPr>
        <w:t>表9.护理专业证书一览表</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756"/>
        <w:gridCol w:w="3724"/>
        <w:gridCol w:w="8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序号</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职业资格名称</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颁证单位</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等级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护士资格证</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卫健委</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准入</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普通话水平等级证</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新疆生产建设兵团语言文字工作委员会</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三乙</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1+X母婴护理</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1+X产后恢复</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1+X老年照护</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1+X老年护理服务需求评估</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1+X老年康体指导</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1+X老年慢病膳食调理</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1+X家庭保健按摩</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1+X体重管理</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中国医药教育协会</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1+X药品购销</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1+X 幼儿照护</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职业评价组织</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全国计算机等级证</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教育部考试中心</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一级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全国英语水平等级证</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教育部考试中心</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二级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15</w:t>
            </w:r>
          </w:p>
        </w:tc>
        <w:tc>
          <w:tcPr>
            <w:tcW w:w="275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营养师</w:t>
            </w:r>
          </w:p>
        </w:tc>
        <w:tc>
          <w:tcPr>
            <w:tcW w:w="37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人社部</w:t>
            </w:r>
          </w:p>
        </w:tc>
        <w:tc>
          <w:tcPr>
            <w:tcW w:w="83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三级</w:t>
            </w:r>
          </w:p>
        </w:tc>
        <w:tc>
          <w:tcPr>
            <w:tcW w:w="105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可选</w:t>
            </w:r>
          </w:p>
        </w:tc>
      </w:tr>
    </w:tbl>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r>
        <w:rPr>
          <w:rFonts w:hint="eastAsia" w:ascii="仿宋" w:hAnsi="仿宋" w:eastAsia="仿宋" w:cs="仿宋"/>
          <w:color w:val="auto"/>
          <w:spacing w:val="0"/>
          <w:kern w:val="0"/>
          <w:sz w:val="28"/>
          <w:szCs w:val="28"/>
          <w:highlight w:val="none"/>
          <w:lang w:val="en-US" w:eastAsia="zh-CN" w:bidi="zh-TW"/>
        </w:rPr>
        <w:t>附表10.教学进程表</w:t>
      </w:r>
    </w:p>
    <w:tbl>
      <w:tblPr>
        <w:tblStyle w:val="8"/>
        <w:tblW w:w="9840"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
        <w:gridCol w:w="543"/>
        <w:gridCol w:w="627"/>
        <w:gridCol w:w="1267"/>
        <w:gridCol w:w="968"/>
        <w:gridCol w:w="598"/>
        <w:gridCol w:w="613"/>
        <w:gridCol w:w="531"/>
        <w:gridCol w:w="433"/>
        <w:gridCol w:w="555"/>
        <w:gridCol w:w="510"/>
        <w:gridCol w:w="585"/>
        <w:gridCol w:w="495"/>
        <w:gridCol w:w="630"/>
        <w:gridCol w:w="645"/>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课程类别</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课程编码</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课程/技能训练名称</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课程代码</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学分</w:t>
            </w:r>
          </w:p>
        </w:tc>
        <w:tc>
          <w:tcPr>
            <w:tcW w:w="15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学时</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考核方式</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周学时*学周（不含考试考查周）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5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第一学期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第二学期</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第三学期</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第四学期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第五学期</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共计</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理论</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实践</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 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 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 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 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 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 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公共课程</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公共必修课</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大学语文Ⅰ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大学语文Ⅱ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大学英语</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大学体育与健康Ⅰ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大学体育与健康Ⅱ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计算机应用基础 1</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计算机应用基础 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心理健康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职业规划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1000001009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思想道德与法治</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毛泽东思想和中国特色社会主义理论体系概论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习近平新时代中国特色社会主义思想概论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1000001025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简明新疆地方史</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形式与政策Ⅰ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形式与政策Ⅱ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形式与政策Ⅲ</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形式与政策Ⅳ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0.5</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军事理论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军事实践</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56*2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劳动实践Ⅰ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1000001019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劳动实践Ⅱ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1000001020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劳动实践Ⅲ</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1000001021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劳动实践Ⅳ</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1000001022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w:t>
            </w:r>
          </w:p>
        </w:tc>
        <w:tc>
          <w:tcPr>
            <w:tcW w:w="613"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672</w:t>
            </w:r>
          </w:p>
        </w:tc>
        <w:tc>
          <w:tcPr>
            <w:tcW w:w="531"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352</w:t>
            </w:r>
          </w:p>
        </w:tc>
        <w:tc>
          <w:tcPr>
            <w:tcW w:w="433"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320</w:t>
            </w:r>
          </w:p>
        </w:tc>
        <w:tc>
          <w:tcPr>
            <w:tcW w:w="55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296</w:t>
            </w:r>
          </w:p>
        </w:tc>
        <w:tc>
          <w:tcPr>
            <w:tcW w:w="58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224</w:t>
            </w:r>
          </w:p>
        </w:tc>
        <w:tc>
          <w:tcPr>
            <w:tcW w:w="49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45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公共选修课</w:t>
            </w:r>
          </w:p>
        </w:tc>
        <w:tc>
          <w:tcPr>
            <w:tcW w:w="1267"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96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613"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144</w:t>
            </w:r>
          </w:p>
        </w:tc>
        <w:tc>
          <w:tcPr>
            <w:tcW w:w="531" w:type="dxa"/>
            <w:tcBorders>
              <w:top w:val="single" w:color="000000" w:sz="4" w:space="0"/>
              <w:left w:val="single" w:color="000000" w:sz="4" w:space="0"/>
              <w:bottom w:val="single" w:color="000000" w:sz="4" w:space="0"/>
              <w:right w:val="single" w:color="000000" w:sz="4" w:space="0"/>
            </w:tcBorders>
            <w:shd w:val="clear" w:color="auto" w:fill="DBDBDB"/>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E3E3E3"/>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专业课</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专业基础课</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人体解剖学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病理学与病理生理学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组织胚胎学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生理学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护理药理学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医用化学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病原微生物与免疫学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护理学导论</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5202011008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96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238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156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专业核心课课</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基础护理学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内科护理学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外科护理学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妇产科护理学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儿科护理学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老年护理学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社区护理学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传染病学护理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急危重症护理学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5202012009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护理技能综合训练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5202012010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健康评估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5202012011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968"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34</w:t>
            </w:r>
          </w:p>
        </w:tc>
        <w:tc>
          <w:tcPr>
            <w:tcW w:w="613"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544</w:t>
            </w:r>
          </w:p>
        </w:tc>
        <w:tc>
          <w:tcPr>
            <w:tcW w:w="531"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328</w:t>
            </w:r>
          </w:p>
        </w:tc>
        <w:tc>
          <w:tcPr>
            <w:tcW w:w="433"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555"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224</w:t>
            </w:r>
          </w:p>
        </w:tc>
        <w:tc>
          <w:tcPr>
            <w:tcW w:w="630"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288</w:t>
            </w:r>
          </w:p>
        </w:tc>
        <w:tc>
          <w:tcPr>
            <w:tcW w:w="645" w:type="dxa"/>
            <w:tcBorders>
              <w:top w:val="single" w:color="000000" w:sz="4" w:space="0"/>
              <w:left w:val="single" w:color="000000" w:sz="4" w:space="0"/>
              <w:bottom w:val="single" w:color="000000" w:sz="4" w:space="0"/>
              <w:right w:val="single" w:color="000000" w:sz="4" w:space="0"/>
            </w:tcBorders>
            <w:shd w:val="clear" w:color="auto" w:fill="DADAD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DADADA"/>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专业选修课</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中医护理技术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精神病护理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护理心理学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五官科护理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5202014004</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康复护理</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5202014005</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护理管理学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5202014006</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护理礼仪与人际沟通</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5202014007</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护理伦理与卫生法规</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5202014008</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营养与食品卫生学</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5202014009</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3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18</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280</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0" w:type="dxa"/>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9000" w:type="dxa"/>
            <w:gridSpan w:val="14"/>
            <w:vMerge w:val="restart"/>
            <w:tcBorders>
              <w:top w:val="nil"/>
              <w:left w:val="single" w:color="auto" w:sz="4" w:space="0"/>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专业选修课选修8个学分，根据选修情况开课。</w:t>
            </w:r>
          </w:p>
        </w:tc>
        <w:tc>
          <w:tcPr>
            <w:tcW w:w="4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9000" w:type="dxa"/>
            <w:gridSpan w:val="14"/>
            <w:vMerge w:val="continue"/>
            <w:tcBorders>
              <w:top w:val="nil"/>
              <w:left w:val="single" w:color="auto" w:sz="4" w:space="0"/>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90" w:type="dxa"/>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职业技能训练课</w:t>
            </w:r>
          </w:p>
        </w:tc>
        <w:tc>
          <w:tcPr>
            <w:tcW w:w="117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顶岗实习</w:t>
            </w:r>
          </w:p>
        </w:tc>
        <w:tc>
          <w:tcPr>
            <w:tcW w:w="12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5202013001</w:t>
            </w:r>
          </w:p>
        </w:tc>
        <w:tc>
          <w:tcPr>
            <w:tcW w:w="9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w:t>
            </w:r>
          </w:p>
        </w:tc>
        <w:tc>
          <w:tcPr>
            <w:tcW w:w="5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33w</w:t>
            </w:r>
          </w:p>
        </w:tc>
        <w:tc>
          <w:tcPr>
            <w:tcW w:w="6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33w</w:t>
            </w:r>
          </w:p>
        </w:tc>
        <w:tc>
          <w:tcPr>
            <w:tcW w:w="4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w:t>
            </w: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9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7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认知实习</w:t>
            </w:r>
          </w:p>
        </w:tc>
        <w:tc>
          <w:tcPr>
            <w:tcW w:w="12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5202013002</w:t>
            </w:r>
          </w:p>
        </w:tc>
        <w:tc>
          <w:tcPr>
            <w:tcW w:w="9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t>
            </w:r>
          </w:p>
        </w:tc>
        <w:tc>
          <w:tcPr>
            <w:tcW w:w="59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w:t>
            </w:r>
          </w:p>
        </w:tc>
        <w:tc>
          <w:tcPr>
            <w:tcW w:w="61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3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3w</w:t>
            </w:r>
          </w:p>
        </w:tc>
        <w:tc>
          <w:tcPr>
            <w:tcW w:w="4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4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39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70"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职业护士资格考试考前辅导</w:t>
            </w:r>
          </w:p>
        </w:tc>
        <w:tc>
          <w:tcPr>
            <w:tcW w:w="126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5202013003</w:t>
            </w:r>
          </w:p>
        </w:tc>
        <w:tc>
          <w:tcPr>
            <w:tcW w:w="96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t>
            </w:r>
          </w:p>
        </w:tc>
        <w:tc>
          <w:tcPr>
            <w:tcW w:w="59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w:t>
            </w:r>
          </w:p>
        </w:tc>
        <w:tc>
          <w:tcPr>
            <w:tcW w:w="61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3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w:t>
            </w:r>
          </w:p>
        </w:tc>
        <w:tc>
          <w:tcPr>
            <w:tcW w:w="4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4w</w:t>
            </w: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90"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170" w:type="dxa"/>
            <w:gridSpan w:val="2"/>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小计</w:t>
            </w:r>
          </w:p>
        </w:tc>
        <w:tc>
          <w:tcPr>
            <w:tcW w:w="1267"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968"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36</w:t>
            </w:r>
          </w:p>
        </w:tc>
        <w:tc>
          <w:tcPr>
            <w:tcW w:w="598"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864</w:t>
            </w:r>
          </w:p>
        </w:tc>
        <w:tc>
          <w:tcPr>
            <w:tcW w:w="613"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0</w:t>
            </w:r>
          </w:p>
        </w:tc>
        <w:tc>
          <w:tcPr>
            <w:tcW w:w="531"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864</w:t>
            </w:r>
          </w:p>
        </w:tc>
        <w:tc>
          <w:tcPr>
            <w:tcW w:w="433"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510"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585"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1w</w:t>
            </w:r>
          </w:p>
        </w:tc>
        <w:tc>
          <w:tcPr>
            <w:tcW w:w="495"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w:t>
            </w:r>
          </w:p>
        </w:tc>
        <w:tc>
          <w:tcPr>
            <w:tcW w:w="645" w:type="dxa"/>
            <w:tcBorders>
              <w:top w:val="nil"/>
              <w:left w:val="nil"/>
              <w:bottom w:val="single" w:color="000000" w:sz="8" w:space="0"/>
              <w:right w:val="single" w:color="000000" w:sz="8" w:space="0"/>
            </w:tcBorders>
            <w:shd w:val="clear" w:color="auto" w:fill="D7D7D7"/>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13w</w:t>
            </w: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60" w:type="dxa"/>
            <w:gridSpan w:val="3"/>
            <w:tcBorders>
              <w:top w:val="nil"/>
              <w:left w:val="single" w:color="000000" w:sz="8" w:space="0"/>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课时总计</w:t>
            </w:r>
          </w:p>
        </w:tc>
        <w:tc>
          <w:tcPr>
            <w:tcW w:w="3977" w:type="dxa"/>
            <w:gridSpan w:val="5"/>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2836</w:t>
            </w:r>
          </w:p>
        </w:tc>
        <w:tc>
          <w:tcPr>
            <w:tcW w:w="433"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w:t>
            </w:r>
          </w:p>
        </w:tc>
        <w:tc>
          <w:tcPr>
            <w:tcW w:w="64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trPr>
        <w:tc>
          <w:tcPr>
            <w:tcW w:w="1560" w:type="dxa"/>
            <w:gridSpan w:val="3"/>
            <w:tcBorders>
              <w:top w:val="nil"/>
              <w:left w:val="single" w:color="000000" w:sz="8" w:space="0"/>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开设课程总数</w:t>
            </w:r>
          </w:p>
        </w:tc>
        <w:tc>
          <w:tcPr>
            <w:tcW w:w="3977" w:type="dxa"/>
            <w:gridSpan w:val="5"/>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51</w:t>
            </w:r>
          </w:p>
        </w:tc>
        <w:tc>
          <w:tcPr>
            <w:tcW w:w="433"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560" w:type="dxa"/>
            <w:gridSpan w:val="3"/>
            <w:tcBorders>
              <w:top w:val="nil"/>
              <w:left w:val="single" w:color="000000" w:sz="8" w:space="0"/>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考试课程数</w:t>
            </w:r>
          </w:p>
        </w:tc>
        <w:tc>
          <w:tcPr>
            <w:tcW w:w="3977" w:type="dxa"/>
            <w:gridSpan w:val="5"/>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20</w:t>
            </w:r>
          </w:p>
        </w:tc>
        <w:tc>
          <w:tcPr>
            <w:tcW w:w="433"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560" w:type="dxa"/>
            <w:gridSpan w:val="3"/>
            <w:tcBorders>
              <w:top w:val="nil"/>
              <w:left w:val="single" w:color="000000" w:sz="8" w:space="0"/>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考查课程总数</w:t>
            </w:r>
          </w:p>
        </w:tc>
        <w:tc>
          <w:tcPr>
            <w:tcW w:w="3977" w:type="dxa"/>
            <w:gridSpan w:val="5"/>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31</w:t>
            </w:r>
          </w:p>
        </w:tc>
        <w:tc>
          <w:tcPr>
            <w:tcW w:w="433"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5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1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58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9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30"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645" w:type="dxa"/>
            <w:tcBorders>
              <w:top w:val="nil"/>
              <w:left w:val="nil"/>
              <w:bottom w:val="single" w:color="000000" w:sz="8" w:space="0"/>
              <w:right w:val="single" w:color="000000" w:sz="8" w:space="0"/>
            </w:tcBorders>
            <w:shd w:val="clear" w:color="auto" w:fill="E7E6E6"/>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4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r>
    </w:tbl>
    <w:p>
      <w:pPr>
        <w:pStyle w:val="4"/>
        <w:keepNext w:val="0"/>
        <w:keepLines w:val="0"/>
        <w:pageBreakBefore w:val="0"/>
        <w:wordWrap/>
        <w:overflowPunct/>
        <w:topLinePunct w:val="0"/>
        <w:bidi w:val="0"/>
        <w:spacing w:line="440" w:lineRule="exact"/>
        <w:jc w:val="both"/>
        <w:rPr>
          <w:rFonts w:ascii="仿宋" w:hAnsi="仿宋" w:eastAsia="仿宋" w:cs="仿宋"/>
          <w:color w:val="auto"/>
          <w:spacing w:val="0"/>
          <w:sz w:val="18"/>
          <w:szCs w:val="21"/>
          <w:highlight w:val="none"/>
        </w:rPr>
      </w:pPr>
      <w:r>
        <w:rPr>
          <w:rFonts w:hint="eastAsia" w:ascii="仿宋" w:hAnsi="仿宋" w:eastAsia="仿宋" w:cs="仿宋"/>
          <w:color w:val="auto"/>
          <w:spacing w:val="0"/>
          <w:sz w:val="18"/>
          <w:szCs w:val="21"/>
          <w:highlight w:val="none"/>
        </w:rPr>
        <w:t>注：</w:t>
      </w:r>
      <w:r>
        <w:rPr>
          <w:rFonts w:ascii="仿宋" w:hAnsi="仿宋" w:eastAsia="仿宋" w:cs="仿宋"/>
          <w:color w:val="auto"/>
          <w:spacing w:val="0"/>
          <w:sz w:val="18"/>
          <w:szCs w:val="21"/>
          <w:highlight w:val="none"/>
        </w:rPr>
        <w:t>1.</w:t>
      </w:r>
      <w:r>
        <w:rPr>
          <w:rFonts w:hint="eastAsia" w:ascii="仿宋" w:hAnsi="仿宋" w:eastAsia="仿宋" w:cs="仿宋"/>
          <w:color w:val="auto"/>
          <w:spacing w:val="0"/>
          <w:sz w:val="18"/>
          <w:szCs w:val="21"/>
          <w:highlight w:val="none"/>
        </w:rPr>
        <w:t>公共选修课分为体育、人文、心理等大类，修业年限内应选合计8学分，144学时，其中，体育（项目限选）2学分，普通话2学分，其他课程任选。</w:t>
      </w:r>
    </w:p>
    <w:p>
      <w:pPr>
        <w:keepNext w:val="0"/>
        <w:keepLines w:val="0"/>
        <w:pageBreakBefore w:val="0"/>
        <w:wordWrap/>
        <w:overflowPunct/>
        <w:topLinePunct w:val="0"/>
        <w:bidi w:val="0"/>
        <w:spacing w:line="440" w:lineRule="exact"/>
        <w:ind w:firstLine="540" w:firstLineChars="300"/>
        <w:jc w:val="both"/>
        <w:rPr>
          <w:rFonts w:ascii="仿宋" w:hAnsi="仿宋" w:eastAsia="仿宋" w:cs="仿宋"/>
          <w:color w:val="auto"/>
          <w:spacing w:val="0"/>
          <w:sz w:val="18"/>
          <w:szCs w:val="21"/>
          <w:highlight w:val="none"/>
        </w:rPr>
      </w:pPr>
      <w:r>
        <w:rPr>
          <w:rFonts w:ascii="仿宋" w:hAnsi="仿宋" w:eastAsia="仿宋" w:cs="仿宋"/>
          <w:color w:val="auto"/>
          <w:spacing w:val="0"/>
          <w:sz w:val="18"/>
          <w:szCs w:val="21"/>
          <w:highlight w:val="none"/>
        </w:rPr>
        <w:t>2</w:t>
      </w:r>
      <w:r>
        <w:rPr>
          <w:rFonts w:hint="eastAsia" w:ascii="仿宋" w:hAnsi="仿宋" w:eastAsia="仿宋" w:cs="仿宋"/>
          <w:color w:val="auto"/>
          <w:spacing w:val="0"/>
          <w:sz w:val="18"/>
          <w:szCs w:val="21"/>
          <w:highlight w:val="none"/>
        </w:rPr>
        <w:t xml:space="preserve">.核心课程：基础护理学、健康评估、内科护理学、外科护理学、妇产科护理学、儿科护理学、急重症护理学、顶岗实习等8门课程 </w:t>
      </w:r>
    </w:p>
    <w:p>
      <w:pPr>
        <w:keepNext w:val="0"/>
        <w:keepLines w:val="0"/>
        <w:pageBreakBefore w:val="0"/>
        <w:wordWrap/>
        <w:overflowPunct/>
        <w:topLinePunct w:val="0"/>
        <w:bidi w:val="0"/>
        <w:spacing w:line="440" w:lineRule="exact"/>
        <w:jc w:val="both"/>
        <w:rPr>
          <w:rFonts w:ascii="仿宋" w:hAnsi="仿宋" w:eastAsia="仿宋" w:cs="仿宋"/>
          <w:color w:val="auto"/>
          <w:spacing w:val="0"/>
          <w:sz w:val="18"/>
          <w:szCs w:val="21"/>
          <w:highlight w:val="none"/>
        </w:rPr>
      </w:pPr>
      <w:r>
        <w:rPr>
          <w:rFonts w:hint="eastAsia" w:ascii="仿宋" w:hAnsi="仿宋" w:eastAsia="仿宋" w:cs="仿宋"/>
          <w:color w:val="auto"/>
          <w:spacing w:val="0"/>
          <w:sz w:val="18"/>
          <w:szCs w:val="21"/>
          <w:highlight w:val="none"/>
        </w:rPr>
        <w:t xml:space="preserve">      </w:t>
      </w:r>
      <w:r>
        <w:rPr>
          <w:rFonts w:ascii="仿宋" w:hAnsi="仿宋" w:eastAsia="仿宋" w:cs="仿宋"/>
          <w:color w:val="auto"/>
          <w:spacing w:val="0"/>
          <w:sz w:val="18"/>
          <w:szCs w:val="21"/>
          <w:highlight w:val="none"/>
        </w:rPr>
        <w:t>3</w:t>
      </w:r>
      <w:r>
        <w:rPr>
          <w:rFonts w:hint="eastAsia" w:ascii="仿宋" w:hAnsi="仿宋" w:eastAsia="仿宋" w:cs="仿宋"/>
          <w:color w:val="auto"/>
          <w:spacing w:val="0"/>
          <w:sz w:val="18"/>
          <w:szCs w:val="21"/>
          <w:highlight w:val="none"/>
        </w:rPr>
        <w:t>.毕业综合考试科目：基础护理40%、内科护理30%、外科护理30%</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sz w:val="18"/>
          <w:szCs w:val="21"/>
          <w:highlight w:val="none"/>
        </w:rPr>
      </w:pPr>
      <w:r>
        <w:rPr>
          <w:rFonts w:hint="eastAsia" w:ascii="仿宋" w:hAnsi="仿宋" w:eastAsia="仿宋" w:cs="仿宋"/>
          <w:color w:val="auto"/>
          <w:spacing w:val="0"/>
          <w:sz w:val="18"/>
          <w:szCs w:val="21"/>
          <w:highlight w:val="none"/>
        </w:rPr>
        <w:t xml:space="preserve">      </w:t>
      </w:r>
      <w:r>
        <w:rPr>
          <w:rFonts w:ascii="仿宋" w:hAnsi="仿宋" w:eastAsia="仿宋" w:cs="仿宋"/>
          <w:color w:val="auto"/>
          <w:spacing w:val="0"/>
          <w:sz w:val="18"/>
          <w:szCs w:val="21"/>
          <w:highlight w:val="none"/>
        </w:rPr>
        <w:t>4</w:t>
      </w:r>
      <w:r>
        <w:rPr>
          <w:rFonts w:hint="eastAsia" w:ascii="仿宋" w:hAnsi="仿宋" w:eastAsia="仿宋" w:cs="仿宋"/>
          <w:color w:val="auto"/>
          <w:spacing w:val="0"/>
          <w:sz w:val="18"/>
          <w:szCs w:val="21"/>
          <w:highlight w:val="none"/>
        </w:rPr>
        <w:t>.执业护士资格考试考前辅导4周，在学生整个实习期间安排线上或线下进行，均不计入总课时。</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r>
        <w:rPr>
          <w:rFonts w:hint="eastAsia" w:ascii="仿宋" w:hAnsi="仿宋" w:eastAsia="仿宋" w:cs="仿宋"/>
          <w:color w:val="auto"/>
          <w:spacing w:val="0"/>
          <w:kern w:val="0"/>
          <w:sz w:val="28"/>
          <w:szCs w:val="28"/>
          <w:highlight w:val="none"/>
          <w:lang w:val="en-US" w:eastAsia="zh-CN" w:bidi="zh-TW"/>
        </w:rPr>
        <w:t>附表11.课程学时分配表</w:t>
      </w:r>
    </w:p>
    <w:tbl>
      <w:tblPr>
        <w:tblStyle w:val="8"/>
        <w:tblW w:w="8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310"/>
        <w:gridCol w:w="1310"/>
        <w:gridCol w:w="1619"/>
        <w:gridCol w:w="1310"/>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20" w:type="dxa"/>
            <w:gridSpan w:val="2"/>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课程类别</w:t>
            </w:r>
          </w:p>
        </w:tc>
        <w:tc>
          <w:tcPr>
            <w:tcW w:w="1310" w:type="dxa"/>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学时数</w:t>
            </w:r>
          </w:p>
        </w:tc>
        <w:tc>
          <w:tcPr>
            <w:tcW w:w="1619" w:type="dxa"/>
            <w:vMerge w:val="restart"/>
            <w:tcBorders>
              <w:top w:val="single" w:color="000000" w:sz="4" w:space="0"/>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占专业总学时比例</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实践学时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20" w:type="dxa"/>
            <w:gridSpan w:val="2"/>
            <w:vMerge w:val="continue"/>
            <w:tcBorders>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color w:val="auto"/>
                <w:highlight w:val="none"/>
              </w:rPr>
            </w:pPr>
          </w:p>
        </w:tc>
        <w:tc>
          <w:tcPr>
            <w:tcW w:w="1310"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color w:val="auto"/>
                <w:highlight w:val="none"/>
              </w:rPr>
            </w:pPr>
          </w:p>
        </w:tc>
        <w:tc>
          <w:tcPr>
            <w:tcW w:w="1619" w:type="dxa"/>
            <w:vMerge w:val="continue"/>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color w:val="auto"/>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学时数</w:t>
            </w:r>
          </w:p>
        </w:tc>
        <w:tc>
          <w:tcPr>
            <w:tcW w:w="1838" w:type="dxa"/>
            <w:tcBorders>
              <w:left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公共课程</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公共必修课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672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23.70%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320</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公共选修课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5.08%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144</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专业课程</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专业基础课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11.71%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94</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专业核心课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544</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19.18%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216</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 xml:space="preserve">  专业选修（模块）课</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9.87%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66</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认知实习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2.54%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顶岗实习</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792</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27.93%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792</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总学时</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2836</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1698</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snapToGrid w:val="0"/>
                <w:color w:val="auto"/>
                <w:spacing w:val="0"/>
                <w:kern w:val="0"/>
                <w:sz w:val="21"/>
                <w:szCs w:val="21"/>
                <w:highlight w:val="none"/>
                <w:lang w:val="en-US" w:eastAsia="zh-CN"/>
              </w:rPr>
            </w:pPr>
            <w:r>
              <w:rPr>
                <w:rFonts w:hint="eastAsia" w:ascii="仿宋" w:hAnsi="仿宋" w:eastAsia="仿宋" w:cs="仿宋"/>
                <w:snapToGrid w:val="0"/>
                <w:color w:val="auto"/>
                <w:spacing w:val="0"/>
                <w:kern w:val="0"/>
                <w:sz w:val="21"/>
                <w:szCs w:val="21"/>
                <w:highlight w:val="none"/>
                <w:lang w:val="en-US" w:eastAsia="zh-CN"/>
              </w:rPr>
              <w:t>60.08%</w:t>
            </w:r>
          </w:p>
        </w:tc>
      </w:tr>
    </w:tbl>
    <w:p>
      <w:pPr>
        <w:keepNext w:val="0"/>
        <w:keepLines w:val="0"/>
        <w:pageBreakBefore w:val="0"/>
        <w:wordWrap/>
        <w:overflowPunct/>
        <w:topLinePunct w:val="0"/>
        <w:bidi w:val="0"/>
        <w:spacing w:line="440" w:lineRule="exact"/>
        <w:jc w:val="both"/>
        <w:rPr>
          <w:rFonts w:hint="eastAsia" w:ascii="仿宋" w:hAnsi="仿宋" w:eastAsia="仿宋" w:cs="仿宋"/>
          <w:b/>
          <w:bCs/>
          <w:color w:val="auto"/>
          <w:spacing w:val="0"/>
          <w:sz w:val="16"/>
          <w:szCs w:val="16"/>
          <w:highlight w:val="none"/>
        </w:rPr>
      </w:pPr>
    </w:p>
    <w:p>
      <w:pPr>
        <w:pStyle w:val="2"/>
        <w:keepNext w:val="0"/>
        <w:keepLines w:val="0"/>
        <w:pageBreakBefore w:val="0"/>
        <w:wordWrap/>
        <w:overflowPunct/>
        <w:topLinePunct w:val="0"/>
        <w:bidi w:val="0"/>
        <w:spacing w:line="440" w:lineRule="exact"/>
        <w:jc w:val="both"/>
        <w:rPr>
          <w:rFonts w:hint="eastAsia"/>
          <w:color w:val="auto"/>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0"/>
          <w:sz w:val="28"/>
          <w:szCs w:val="28"/>
          <w:highlight w:val="none"/>
          <w:lang w:val="en-US" w:eastAsia="zh-CN" w:bidi="zh-TW"/>
        </w:rPr>
      </w:pPr>
      <w:r>
        <w:rPr>
          <w:rFonts w:hint="eastAsia" w:ascii="仿宋" w:hAnsi="仿宋" w:eastAsia="仿宋" w:cs="仿宋"/>
          <w:color w:val="auto"/>
          <w:spacing w:val="0"/>
          <w:kern w:val="0"/>
          <w:sz w:val="28"/>
          <w:szCs w:val="28"/>
          <w:highlight w:val="none"/>
          <w:lang w:val="en-US" w:eastAsia="zh-CN" w:bidi="zh-TW"/>
        </w:rPr>
        <w:t>附表12.教学环节时间分配表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07"/>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学期</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第1学期</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第2学期</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第3学期</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第4学期</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第5学期</w:t>
            </w: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b w:val="0"/>
                <w:bCs w:val="0"/>
                <w:color w:val="auto"/>
                <w:spacing w:val="0"/>
                <w:kern w:val="1"/>
                <w:sz w:val="21"/>
                <w:szCs w:val="21"/>
                <w:highlight w:val="none"/>
              </w:rPr>
            </w:pPr>
            <w:r>
              <w:rPr>
                <w:rFonts w:hint="eastAsia" w:ascii="仿宋" w:hAnsi="仿宋" w:eastAsia="仿宋" w:cs="仿宋"/>
                <w:b w:val="0"/>
                <w:bCs w:val="0"/>
                <w:color w:val="auto"/>
                <w:spacing w:val="0"/>
                <w:kern w:val="1"/>
                <w:sz w:val="21"/>
                <w:szCs w:val="21"/>
                <w:highlight w:val="none"/>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入学教育与军训</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2周</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理论与实践教学</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14周</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16周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16周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16周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考试考查</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2周</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劳动实践</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专业实践</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顶岗实习</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20周</w:t>
            </w: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毕业考试</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93"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合计</w:t>
            </w:r>
          </w:p>
        </w:tc>
        <w:tc>
          <w:tcPr>
            <w:tcW w:w="1007"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19周</w:t>
            </w:r>
          </w:p>
        </w:tc>
        <w:tc>
          <w:tcPr>
            <w:tcW w:w="1184"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20周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20周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20周</w:t>
            </w:r>
          </w:p>
        </w:tc>
        <w:tc>
          <w:tcPr>
            <w:tcW w:w="1186"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20周</w:t>
            </w:r>
          </w:p>
        </w:tc>
        <w:tc>
          <w:tcPr>
            <w:tcW w:w="1118" w:type="dxa"/>
            <w:vAlign w:val="center"/>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17周</w:t>
            </w:r>
          </w:p>
        </w:tc>
      </w:tr>
    </w:tbl>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28"/>
          <w:szCs w:val="28"/>
          <w:highlight w:val="none"/>
        </w:rPr>
      </w:pPr>
    </w:p>
    <w:p>
      <w:pPr>
        <w:keepNext w:val="0"/>
        <w:keepLines w:val="0"/>
        <w:pageBreakBefore w:val="0"/>
        <w:wordWrap/>
        <w:overflowPunct/>
        <w:topLinePunct w:val="0"/>
        <w:bidi w:val="0"/>
        <w:spacing w:line="440" w:lineRule="exact"/>
        <w:jc w:val="both"/>
        <w:rPr>
          <w:rFonts w:ascii="黑体" w:hAnsi="黑体" w:eastAsia="黑体"/>
          <w:b w:val="0"/>
          <w:bCs w:val="0"/>
          <w:color w:val="auto"/>
          <w:spacing w:val="0"/>
          <w:sz w:val="44"/>
          <w:szCs w:val="44"/>
          <w:highlight w:val="none"/>
        </w:rPr>
      </w:pPr>
      <w:r>
        <w:rPr>
          <w:rFonts w:ascii="黑体" w:hAnsi="黑体" w:eastAsia="黑体"/>
          <w:b w:val="0"/>
          <w:bCs w:val="0"/>
          <w:color w:val="auto"/>
          <w:spacing w:val="0"/>
          <w:sz w:val="28"/>
          <w:szCs w:val="28"/>
          <w:highlight w:val="none"/>
        </w:rPr>
        <w:t>附件</w:t>
      </w:r>
      <w:r>
        <w:rPr>
          <w:rFonts w:hint="eastAsia" w:ascii="黑体" w:hAnsi="黑体" w:eastAsia="黑体"/>
          <w:b w:val="0"/>
          <w:bCs w:val="0"/>
          <w:color w:val="auto"/>
          <w:spacing w:val="0"/>
          <w:sz w:val="28"/>
          <w:szCs w:val="28"/>
          <w:highlight w:val="none"/>
          <w:lang w:val="en-US" w:eastAsia="zh-CN"/>
        </w:rPr>
        <w:t>1</w:t>
      </w:r>
      <w:r>
        <w:rPr>
          <w:rFonts w:ascii="黑体" w:hAnsi="黑体" w:eastAsia="黑体"/>
          <w:b w:val="0"/>
          <w:bCs w:val="0"/>
          <w:color w:val="auto"/>
          <w:spacing w:val="0"/>
          <w:sz w:val="28"/>
          <w:szCs w:val="28"/>
          <w:highlight w:val="none"/>
        </w:rPr>
        <w:t>：</w:t>
      </w:r>
    </w:p>
    <w:p>
      <w:pPr>
        <w:keepNext w:val="0"/>
        <w:keepLines w:val="0"/>
        <w:pageBreakBefore w:val="0"/>
        <w:wordWrap/>
        <w:overflowPunct/>
        <w:topLinePunct w:val="0"/>
        <w:bidi w:val="0"/>
        <w:spacing w:line="440" w:lineRule="exact"/>
        <w:jc w:val="both"/>
        <w:rPr>
          <w:rFonts w:hint="eastAsia" w:ascii="方正小标宋简体" w:hAnsi="黑体" w:eastAsia="方正小标宋简体" w:cs="宋体"/>
          <w:b w:val="0"/>
          <w:bCs w:val="0"/>
          <w:color w:val="auto"/>
          <w:spacing w:val="0"/>
          <w:sz w:val="44"/>
          <w:szCs w:val="44"/>
          <w:highlight w:val="none"/>
        </w:rPr>
      </w:pPr>
      <w:r>
        <w:rPr>
          <w:rFonts w:hint="eastAsia" w:ascii="方正小标宋简体" w:hAnsi="黑体" w:eastAsia="方正小标宋简体" w:cs="宋体"/>
          <w:b w:val="0"/>
          <w:bCs w:val="0"/>
          <w:color w:val="auto"/>
          <w:spacing w:val="0"/>
          <w:sz w:val="44"/>
          <w:szCs w:val="44"/>
          <w:highlight w:val="none"/>
          <w:lang w:val="en-US" w:eastAsia="zh-CN"/>
        </w:rPr>
        <w:t>塔里木职业技术</w:t>
      </w:r>
      <w:r>
        <w:rPr>
          <w:rFonts w:hint="eastAsia" w:ascii="方正小标宋简体" w:hAnsi="黑体" w:eastAsia="方正小标宋简体" w:cs="宋体"/>
          <w:b w:val="0"/>
          <w:bCs w:val="0"/>
          <w:color w:val="auto"/>
          <w:spacing w:val="0"/>
          <w:sz w:val="44"/>
          <w:szCs w:val="44"/>
          <w:highlight w:val="none"/>
        </w:rPr>
        <w:t>学院人才培养方案论证报告</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9"/>
        <w:gridCol w:w="499"/>
        <w:gridCol w:w="2088"/>
        <w:gridCol w:w="1460"/>
        <w:gridCol w:w="301"/>
        <w:gridCol w:w="964"/>
        <w:gridCol w:w="86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86"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专业名称</w:t>
            </w:r>
          </w:p>
        </w:tc>
        <w:tc>
          <w:tcPr>
            <w:tcW w:w="2587"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lang w:val="en-US" w:eastAsia="zh-CN"/>
              </w:rPr>
            </w:pPr>
            <w:r>
              <w:rPr>
                <w:rFonts w:hint="eastAsia" w:ascii="仿宋" w:hAnsi="仿宋" w:eastAsia="仿宋" w:cs="仿宋"/>
                <w:color w:val="auto"/>
                <w:spacing w:val="0"/>
                <w:kern w:val="1"/>
                <w:sz w:val="21"/>
                <w:szCs w:val="21"/>
                <w:highlight w:val="none"/>
                <w:lang w:val="en-US" w:eastAsia="zh-CN"/>
              </w:rPr>
              <w:t>护理专业</w:t>
            </w:r>
          </w:p>
        </w:tc>
        <w:tc>
          <w:tcPr>
            <w:tcW w:w="1460"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lang w:val="en-US" w:eastAsia="zh-CN"/>
              </w:rPr>
            </w:pPr>
            <w:r>
              <w:rPr>
                <w:rFonts w:hint="eastAsia" w:ascii="仿宋" w:hAnsi="仿宋" w:eastAsia="仿宋" w:cs="仿宋"/>
                <w:color w:val="auto"/>
                <w:spacing w:val="0"/>
                <w:kern w:val="1"/>
                <w:sz w:val="21"/>
                <w:szCs w:val="21"/>
                <w:highlight w:val="none"/>
              </w:rPr>
              <w:t>所属</w:t>
            </w:r>
            <w:r>
              <w:rPr>
                <w:rFonts w:hint="eastAsia" w:ascii="仿宋" w:hAnsi="仿宋" w:eastAsia="仿宋" w:cs="仿宋"/>
                <w:color w:val="auto"/>
                <w:spacing w:val="0"/>
                <w:kern w:val="1"/>
                <w:sz w:val="21"/>
                <w:szCs w:val="21"/>
                <w:highlight w:val="none"/>
                <w:lang w:val="en-US" w:eastAsia="zh-CN"/>
              </w:rPr>
              <w:t>分院</w:t>
            </w:r>
          </w:p>
        </w:tc>
        <w:tc>
          <w:tcPr>
            <w:tcW w:w="3289" w:type="dxa"/>
            <w:gridSpan w:val="4"/>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lang w:val="en-US" w:eastAsia="zh-CN"/>
              </w:rPr>
            </w:pPr>
            <w:r>
              <w:rPr>
                <w:rFonts w:hint="eastAsia" w:ascii="仿宋" w:hAnsi="仿宋" w:eastAsia="仿宋" w:cs="仿宋"/>
                <w:color w:val="auto"/>
                <w:spacing w:val="0"/>
                <w:kern w:val="1"/>
                <w:sz w:val="21"/>
                <w:szCs w:val="21"/>
                <w:highlight w:val="none"/>
                <w:lang w:val="en-US" w:eastAsia="zh-CN"/>
              </w:rPr>
              <w:t>教育健康学院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6"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论证时间</w:t>
            </w:r>
          </w:p>
        </w:tc>
        <w:tc>
          <w:tcPr>
            <w:tcW w:w="2587"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lang w:val="en-US" w:eastAsia="zh-CN"/>
              </w:rPr>
            </w:pPr>
            <w:r>
              <w:rPr>
                <w:rFonts w:hint="eastAsia" w:ascii="仿宋" w:hAnsi="仿宋" w:eastAsia="仿宋" w:cs="仿宋"/>
                <w:color w:val="auto"/>
                <w:spacing w:val="0"/>
                <w:kern w:val="1"/>
                <w:sz w:val="21"/>
                <w:szCs w:val="21"/>
                <w:highlight w:val="none"/>
                <w:lang w:val="en-US" w:eastAsia="zh-CN"/>
              </w:rPr>
              <w:t>2022.6.1</w:t>
            </w:r>
          </w:p>
        </w:tc>
        <w:tc>
          <w:tcPr>
            <w:tcW w:w="1460"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论证地点</w:t>
            </w:r>
          </w:p>
        </w:tc>
        <w:tc>
          <w:tcPr>
            <w:tcW w:w="3289" w:type="dxa"/>
            <w:gridSpan w:val="4"/>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lang w:val="en-US" w:eastAsia="zh-CN"/>
              </w:rPr>
            </w:pPr>
            <w:r>
              <w:rPr>
                <w:rFonts w:hint="eastAsia" w:ascii="仿宋" w:hAnsi="仿宋" w:eastAsia="仿宋" w:cs="仿宋"/>
                <w:color w:val="auto"/>
                <w:spacing w:val="0"/>
                <w:kern w:val="1"/>
                <w:sz w:val="21"/>
                <w:szCs w:val="21"/>
                <w:highlight w:val="none"/>
                <w:lang w:val="en-US" w:eastAsia="zh-CN"/>
              </w:rPr>
              <w:t>1教会议室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9"/>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主要论证内容及结论：</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各位专家就方案中的培养目标、毕业要求、课程设置、实践教学安排等内容分别进行论证发言并提出了具体的修改意见和建议。指出我校人才培养方案的制定既要符合《护理学类教学质量国家标准》的要求，也需进一步明确办学定位与专业培养目标，突显地方特色，充分发挥综合性高校的优势，并提议进行基础医学课程整合，打通基础课与专业课之间的壁垒，体现生命全周期、健康全过程的理念。此次与会专家提出的诸多优质意见和建议，对护理</w:t>
            </w:r>
            <w:r>
              <w:rPr>
                <w:rFonts w:hint="eastAsia" w:ascii="仿宋" w:hAnsi="仿宋" w:eastAsia="仿宋" w:cs="仿宋"/>
                <w:color w:val="auto"/>
                <w:spacing w:val="0"/>
                <w:kern w:val="1"/>
                <w:sz w:val="21"/>
                <w:szCs w:val="21"/>
                <w:highlight w:val="none"/>
                <w:lang w:val="en-US" w:eastAsia="zh-CN"/>
              </w:rPr>
              <w:t>专业</w:t>
            </w:r>
            <w:r>
              <w:rPr>
                <w:rFonts w:hint="eastAsia" w:ascii="仿宋" w:hAnsi="仿宋" w:eastAsia="仿宋" w:cs="仿宋"/>
                <w:color w:val="auto"/>
                <w:spacing w:val="0"/>
                <w:kern w:val="1"/>
                <w:sz w:val="21"/>
                <w:szCs w:val="21"/>
                <w:highlight w:val="none"/>
              </w:rPr>
              <w:t>进一步修订和完善专业人才培养方案，推进护理教育教学改革具有非常重要的指导价值，下一步，学院将重新审视培养方案存在的不足，结合实际作进一步修订和完善，找准高素质应用型人才培养方向，凝练专业特色，使其更符合我校地方性应用型高校的办学定位和新医科建设理念，为加强护理学专业建设、提高人才培养质量打下坚实基础。</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 xml:space="preserve">                                 </w:t>
            </w:r>
            <w:r>
              <w:rPr>
                <w:rFonts w:hint="eastAsia" w:ascii="仿宋" w:hAnsi="仿宋" w:eastAsia="仿宋" w:cs="仿宋"/>
                <w:color w:val="auto"/>
                <w:spacing w:val="0"/>
                <w:kern w:val="1"/>
                <w:sz w:val="21"/>
                <w:szCs w:val="21"/>
                <w:highlight w:val="none"/>
                <w:lang w:val="en-US" w:eastAsia="zh-CN"/>
              </w:rPr>
              <w:t xml:space="preserve">        分院院长</w:t>
            </w:r>
            <w:r>
              <w:rPr>
                <w:rFonts w:hint="eastAsia" w:ascii="仿宋" w:hAnsi="仿宋" w:eastAsia="仿宋" w:cs="仿宋"/>
                <w:color w:val="auto"/>
                <w:spacing w:val="0"/>
                <w:kern w:val="1"/>
                <w:sz w:val="21"/>
                <w:szCs w:val="21"/>
                <w:highlight w:val="none"/>
              </w:rPr>
              <w:t xml:space="preserve">（签名） </w:t>
            </w:r>
          </w:p>
          <w:p>
            <w:pPr>
              <w:keepNext w:val="0"/>
              <w:keepLines w:val="0"/>
              <w:pageBreakBefore w:val="0"/>
              <w:wordWrap/>
              <w:overflowPunct/>
              <w:topLinePunct w:val="0"/>
              <w:bidi w:val="0"/>
              <w:spacing w:line="440" w:lineRule="exact"/>
              <w:ind w:firstLine="4410" w:firstLineChars="2100"/>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lang w:val="en-US" w:eastAsia="zh-CN"/>
              </w:rPr>
              <w:t>2022</w:t>
            </w:r>
            <w:r>
              <w:rPr>
                <w:rFonts w:hint="eastAsia" w:ascii="仿宋" w:hAnsi="仿宋" w:eastAsia="仿宋" w:cs="仿宋"/>
                <w:color w:val="auto"/>
                <w:spacing w:val="0"/>
                <w:kern w:val="1"/>
                <w:sz w:val="21"/>
                <w:szCs w:val="21"/>
                <w:highlight w:val="none"/>
              </w:rPr>
              <w:t>年</w:t>
            </w:r>
            <w:r>
              <w:rPr>
                <w:rFonts w:hint="eastAsia" w:ascii="仿宋" w:hAnsi="仿宋" w:eastAsia="仿宋" w:cs="仿宋"/>
                <w:color w:val="auto"/>
                <w:spacing w:val="0"/>
                <w:kern w:val="1"/>
                <w:sz w:val="21"/>
                <w:szCs w:val="21"/>
                <w:highlight w:val="none"/>
                <w:lang w:val="en-US" w:eastAsia="zh-CN"/>
              </w:rPr>
              <w:t>6</w:t>
            </w:r>
            <w:r>
              <w:rPr>
                <w:rFonts w:hint="eastAsia" w:ascii="仿宋" w:hAnsi="仿宋" w:eastAsia="仿宋" w:cs="仿宋"/>
                <w:color w:val="auto"/>
                <w:spacing w:val="0"/>
                <w:kern w:val="1"/>
                <w:sz w:val="21"/>
                <w:szCs w:val="21"/>
                <w:highlight w:val="none"/>
              </w:rPr>
              <w:t>月</w:t>
            </w:r>
            <w:r>
              <w:rPr>
                <w:rFonts w:hint="eastAsia" w:ascii="仿宋" w:hAnsi="仿宋" w:eastAsia="仿宋" w:cs="仿宋"/>
                <w:color w:val="auto"/>
                <w:spacing w:val="0"/>
                <w:kern w:val="1"/>
                <w:sz w:val="21"/>
                <w:szCs w:val="21"/>
                <w:highlight w:val="none"/>
                <w:lang w:val="en-US" w:eastAsia="zh-CN"/>
              </w:rPr>
              <w:t>1</w:t>
            </w:r>
            <w:r>
              <w:rPr>
                <w:rFonts w:hint="eastAsia" w:ascii="仿宋" w:hAnsi="仿宋" w:eastAsia="仿宋" w:cs="仿宋"/>
                <w:color w:val="auto"/>
                <w:spacing w:val="0"/>
                <w:kern w:val="1"/>
                <w:sz w:val="21"/>
                <w:szCs w:val="21"/>
                <w:highlight w:val="none"/>
              </w:rPr>
              <w:t xml:space="preserve">日    </w:t>
            </w:r>
          </w:p>
          <w:p>
            <w:pPr>
              <w:keepNext w:val="0"/>
              <w:keepLines w:val="0"/>
              <w:pageBreakBefore w:val="0"/>
              <w:wordWrap/>
              <w:overflowPunct/>
              <w:topLinePunct w:val="0"/>
              <w:bidi w:val="0"/>
              <w:spacing w:line="440" w:lineRule="exact"/>
              <w:jc w:val="both"/>
              <w:rPr>
                <w:rFonts w:hint="eastAsia" w:ascii="仿宋" w:hAnsi="仿宋" w:eastAsia="仿宋" w:cs="仿宋"/>
                <w:color w:val="auto"/>
                <w:spacing w:val="0"/>
                <w:kern w:val="1"/>
                <w:sz w:val="21"/>
                <w:szCs w:val="21"/>
                <w:highlight w:val="none"/>
              </w:rPr>
            </w:pPr>
            <w:r>
              <w:rPr>
                <w:rFonts w:hint="eastAsia" w:ascii="仿宋" w:hAnsi="仿宋" w:eastAsia="仿宋" w:cs="仿宋"/>
                <w:color w:val="auto"/>
                <w:spacing w:val="0"/>
                <w:kern w:val="1"/>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22" w:type="dxa"/>
            <w:gridSpan w:val="9"/>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 xml:space="preserve">                            参与论证会主要人员信息表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序号</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姓 名</w:t>
            </w: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工 作 单 位</w:t>
            </w: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职 务</w:t>
            </w: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职 称</w:t>
            </w: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1</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徐象党</w:t>
            </w: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温州医科大学，援阿克苏职业技术学院</w:t>
            </w: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副院长</w:t>
            </w: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2</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周彩华</w:t>
            </w: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杭州医学院，援阿克苏职业技术学院</w:t>
            </w: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3</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叶国英</w:t>
            </w: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val="0"/>
                <w:bCs/>
                <w:color w:val="auto"/>
                <w:spacing w:val="0"/>
                <w:sz w:val="21"/>
                <w:szCs w:val="21"/>
                <w:highlight w:val="none"/>
                <w:lang w:val="en-US" w:eastAsia="zh-CN"/>
              </w:rPr>
            </w:pPr>
            <w:r>
              <w:rPr>
                <w:rFonts w:hint="eastAsia" w:ascii="仿宋" w:hAnsi="仿宋" w:eastAsia="仿宋" w:cs="仿宋"/>
                <w:b w:val="0"/>
                <w:bCs/>
                <w:color w:val="auto"/>
                <w:spacing w:val="0"/>
                <w:sz w:val="21"/>
                <w:szCs w:val="21"/>
                <w:highlight w:val="none"/>
                <w:lang w:val="en-US" w:eastAsia="zh-CN"/>
              </w:rPr>
              <w:t>宁波职业技术学院</w:t>
            </w: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4</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5</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6</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7</w:t>
            </w:r>
          </w:p>
        </w:tc>
        <w:tc>
          <w:tcPr>
            <w:tcW w:w="868" w:type="dxa"/>
            <w:gridSpan w:val="2"/>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3849" w:type="dxa"/>
            <w:gridSpan w:val="3"/>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964"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866"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c>
          <w:tcPr>
            <w:tcW w:w="1158" w:type="dxa"/>
            <w:noWrap w:val="0"/>
            <w:vAlign w:val="top"/>
          </w:tcPr>
          <w:p>
            <w:pPr>
              <w:keepNext w:val="0"/>
              <w:keepLines w:val="0"/>
              <w:pageBreakBefore w:val="0"/>
              <w:wordWrap/>
              <w:overflowPunct/>
              <w:topLinePunct w:val="0"/>
              <w:bidi w:val="0"/>
              <w:spacing w:line="440" w:lineRule="exact"/>
              <w:jc w:val="both"/>
              <w:rPr>
                <w:rFonts w:hint="eastAsia" w:ascii="仿宋" w:hAnsi="仿宋" w:eastAsia="仿宋" w:cs="仿宋"/>
                <w:b/>
                <w:color w:val="auto"/>
                <w:spacing w:val="0"/>
                <w:sz w:val="21"/>
                <w:szCs w:val="21"/>
                <w:highlight w:val="none"/>
              </w:rPr>
            </w:pPr>
          </w:p>
        </w:tc>
      </w:tr>
    </w:tbl>
    <w:p>
      <w:pPr>
        <w:keepNext w:val="0"/>
        <w:keepLines w:val="0"/>
        <w:pageBreakBefore w:val="0"/>
        <w:wordWrap/>
        <w:overflowPunct/>
        <w:topLinePunct w:val="0"/>
        <w:bidi w:val="0"/>
        <w:spacing w:line="440" w:lineRule="exact"/>
        <w:jc w:val="both"/>
        <w:rPr>
          <w:rFonts w:hint="eastAsia" w:ascii="仿宋" w:hAnsi="仿宋" w:eastAsia="仿宋" w:cs="仿宋"/>
          <w:color w:val="auto"/>
          <w:spacing w:val="0"/>
          <w:sz w:val="21"/>
          <w:szCs w:val="21"/>
          <w:highlight w:val="none"/>
        </w:rPr>
      </w:pPr>
    </w:p>
    <w:p>
      <w:pPr>
        <w:keepNext w:val="0"/>
        <w:keepLines w:val="0"/>
        <w:pageBreakBefore w:val="0"/>
        <w:wordWrap/>
        <w:overflowPunct/>
        <w:topLinePunct w:val="0"/>
        <w:bidi w:val="0"/>
        <w:spacing w:line="440" w:lineRule="exact"/>
        <w:jc w:val="both"/>
        <w:rPr>
          <w:color w:val="auto"/>
          <w:spacing w:val="0"/>
          <w:highlight w:val="none"/>
        </w:rPr>
      </w:pPr>
    </w:p>
    <w:p>
      <w:pPr>
        <w:pStyle w:val="2"/>
        <w:keepNext w:val="0"/>
        <w:keepLines w:val="0"/>
        <w:pageBreakBefore w:val="0"/>
        <w:wordWrap/>
        <w:overflowPunct/>
        <w:topLinePunct w:val="0"/>
        <w:bidi w:val="0"/>
        <w:spacing w:line="440" w:lineRule="exact"/>
        <w:jc w:val="both"/>
        <w:rPr>
          <w:color w:val="auto"/>
          <w:spacing w:val="0"/>
          <w:highlight w:val="none"/>
        </w:rPr>
      </w:pPr>
    </w:p>
    <w:p>
      <w:pPr>
        <w:keepNext w:val="0"/>
        <w:keepLines w:val="0"/>
        <w:pageBreakBefore w:val="0"/>
        <w:wordWrap/>
        <w:overflowPunct/>
        <w:topLinePunct w:val="0"/>
        <w:bidi w:val="0"/>
        <w:spacing w:line="440" w:lineRule="exact"/>
        <w:jc w:val="both"/>
        <w:rPr>
          <w:rFonts w:ascii="仿宋" w:hAnsi="仿宋" w:eastAsia="仿宋" w:cs="仿宋"/>
          <w:b w:val="0"/>
          <w:bCs w:val="0"/>
          <w:color w:val="auto"/>
          <w:spacing w:val="0"/>
          <w:sz w:val="28"/>
          <w:szCs w:val="28"/>
          <w:highlight w:val="none"/>
          <w:u w:val="single"/>
        </w:rPr>
      </w:pPr>
      <w:r>
        <w:rPr>
          <w:rFonts w:hint="eastAsia" w:ascii="仿宋" w:hAnsi="仿宋" w:eastAsia="仿宋" w:cs="仿宋"/>
          <w:b w:val="0"/>
          <w:bCs w:val="0"/>
          <w:color w:val="auto"/>
          <w:spacing w:val="0"/>
          <w:sz w:val="28"/>
          <w:szCs w:val="28"/>
          <w:highlight w:val="none"/>
        </w:rPr>
        <w:t>方案执笔人  （签字）：</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日期：</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年</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月</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w:t>
      </w:r>
    </w:p>
    <w:p>
      <w:pPr>
        <w:keepNext w:val="0"/>
        <w:keepLines w:val="0"/>
        <w:pageBreakBefore w:val="0"/>
        <w:wordWrap/>
        <w:overflowPunct/>
        <w:topLinePunct w:val="0"/>
        <w:bidi w:val="0"/>
        <w:spacing w:line="440" w:lineRule="exact"/>
        <w:jc w:val="both"/>
        <w:rPr>
          <w:rFonts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教研室主任  （签字）：</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日期：</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年</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月</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w:t>
      </w:r>
    </w:p>
    <w:p>
      <w:pPr>
        <w:keepNext w:val="0"/>
        <w:keepLines w:val="0"/>
        <w:pageBreakBefore w:val="0"/>
        <w:wordWrap/>
        <w:overflowPunct/>
        <w:topLinePunct w:val="0"/>
        <w:bidi w:val="0"/>
        <w:spacing w:line="440" w:lineRule="exact"/>
        <w:jc w:val="both"/>
        <w:rPr>
          <w:rFonts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分院负责人  （签字）：</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日期：</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年</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月</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w:t>
      </w:r>
    </w:p>
    <w:p>
      <w:pPr>
        <w:keepNext w:val="0"/>
        <w:keepLines w:val="0"/>
        <w:pageBreakBefore w:val="0"/>
        <w:wordWrap/>
        <w:overflowPunct/>
        <w:topLinePunct w:val="0"/>
        <w:bidi w:val="0"/>
        <w:spacing w:line="440" w:lineRule="exact"/>
        <w:jc w:val="both"/>
        <w:rPr>
          <w:rFonts w:ascii="仿宋" w:hAnsi="仿宋" w:eastAsia="仿宋" w:cs="仿宋"/>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教务处负责人（签字）：</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日期：</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年</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月</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w:t>
      </w:r>
    </w:p>
    <w:p>
      <w:pPr>
        <w:keepNext w:val="0"/>
        <w:keepLines w:val="0"/>
        <w:pageBreakBefore w:val="0"/>
        <w:wordWrap/>
        <w:overflowPunct/>
        <w:topLinePunct w:val="0"/>
        <w:bidi w:val="0"/>
        <w:spacing w:line="440" w:lineRule="exact"/>
        <w:jc w:val="both"/>
        <w:rPr>
          <w:b w:val="0"/>
          <w:bCs w:val="0"/>
          <w:color w:val="auto"/>
          <w:spacing w:val="0"/>
          <w:sz w:val="28"/>
          <w:szCs w:val="28"/>
          <w:highlight w:val="none"/>
        </w:rPr>
      </w:pPr>
      <w:r>
        <w:rPr>
          <w:rFonts w:hint="eastAsia" w:ascii="仿宋" w:hAnsi="仿宋" w:eastAsia="仿宋" w:cs="仿宋"/>
          <w:b w:val="0"/>
          <w:bCs w:val="0"/>
          <w:color w:val="auto"/>
          <w:spacing w:val="0"/>
          <w:sz w:val="28"/>
          <w:szCs w:val="28"/>
          <w:highlight w:val="none"/>
        </w:rPr>
        <w:t>学校负责人  （签字）：</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日期：</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年</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月</w:t>
      </w:r>
      <w:r>
        <w:rPr>
          <w:rFonts w:hint="eastAsia" w:ascii="仿宋" w:hAnsi="仿宋" w:eastAsia="仿宋" w:cs="仿宋"/>
          <w:b w:val="0"/>
          <w:bCs w:val="0"/>
          <w:color w:val="auto"/>
          <w:spacing w:val="0"/>
          <w:sz w:val="28"/>
          <w:szCs w:val="28"/>
          <w:highlight w:val="none"/>
          <w:u w:val="single"/>
        </w:rPr>
        <w:t xml:space="preserve">   </w:t>
      </w:r>
      <w:r>
        <w:rPr>
          <w:rFonts w:hint="eastAsia" w:ascii="仿宋" w:hAnsi="仿宋" w:eastAsia="仿宋" w:cs="仿宋"/>
          <w:b w:val="0"/>
          <w:bCs w:val="0"/>
          <w:color w:val="auto"/>
          <w:spacing w:val="0"/>
          <w:sz w:val="28"/>
          <w:szCs w:val="28"/>
          <w:highlight w:val="none"/>
        </w:rPr>
        <w:t>日</w:t>
      </w:r>
    </w:p>
    <w:bookmarkEnd w:id="12"/>
    <w:sectPr>
      <w:head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D446F6-2A5E-4836-956F-71052D367C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6FBECEB-EBB6-44B3-AA47-A71370BD95BE}"/>
  </w:font>
  <w:font w:name="方正小标宋简体">
    <w:panose1 w:val="02000000000000000000"/>
    <w:charset w:val="86"/>
    <w:family w:val="auto"/>
    <w:pitch w:val="default"/>
    <w:sig w:usb0="A00002BF" w:usb1="184F6CFA" w:usb2="00000012" w:usb3="00000000" w:csb0="00040001" w:csb1="00000000"/>
    <w:embedRegular r:id="rId3" w:fontKey="{BDA84335-CCE4-4D7A-AEFF-B57A23781076}"/>
  </w:font>
  <w:font w:name="楷体">
    <w:panose1 w:val="02010609060101010101"/>
    <w:charset w:val="86"/>
    <w:family w:val="modern"/>
    <w:pitch w:val="default"/>
    <w:sig w:usb0="800002BF" w:usb1="38CF7CFA" w:usb2="00000016" w:usb3="00000000" w:csb0="00040001" w:csb1="00000000"/>
    <w:embedRegular r:id="rId4" w:fontKey="{AB802986-E8D4-44B9-B99F-6CA48C438AC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A5621"/>
    <w:multiLevelType w:val="singleLevel"/>
    <w:tmpl w:val="B09A5621"/>
    <w:lvl w:ilvl="0" w:tentative="0">
      <w:start w:val="1"/>
      <w:numFmt w:val="decimal"/>
      <w:suff w:val="nothing"/>
      <w:lvlText w:val="%1、"/>
      <w:lvlJc w:val="left"/>
    </w:lvl>
  </w:abstractNum>
  <w:abstractNum w:abstractNumId="1">
    <w:nsid w:val="2D8D9629"/>
    <w:multiLevelType w:val="singleLevel"/>
    <w:tmpl w:val="2D8D962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NWRiZjc0ZTQ3ZTc2Mjg4ZTE1MjJlYWI0MzhjY2MifQ=="/>
  </w:docVars>
  <w:rsids>
    <w:rsidRoot w:val="40A86DCD"/>
    <w:rsid w:val="00004707"/>
    <w:rsid w:val="00013750"/>
    <w:rsid w:val="00023FDA"/>
    <w:rsid w:val="00047B51"/>
    <w:rsid w:val="00061995"/>
    <w:rsid w:val="00077243"/>
    <w:rsid w:val="00082E23"/>
    <w:rsid w:val="000850C6"/>
    <w:rsid w:val="00094C2C"/>
    <w:rsid w:val="000953ED"/>
    <w:rsid w:val="000D2DBA"/>
    <w:rsid w:val="000D3051"/>
    <w:rsid w:val="000E533C"/>
    <w:rsid w:val="000F1C2C"/>
    <w:rsid w:val="000F607A"/>
    <w:rsid w:val="001124A5"/>
    <w:rsid w:val="00115400"/>
    <w:rsid w:val="00115407"/>
    <w:rsid w:val="001465B4"/>
    <w:rsid w:val="001545DB"/>
    <w:rsid w:val="00161D55"/>
    <w:rsid w:val="00170A4D"/>
    <w:rsid w:val="00171E51"/>
    <w:rsid w:val="001770BF"/>
    <w:rsid w:val="00185B4A"/>
    <w:rsid w:val="001862E6"/>
    <w:rsid w:val="00186923"/>
    <w:rsid w:val="001911EA"/>
    <w:rsid w:val="0019608B"/>
    <w:rsid w:val="001D2155"/>
    <w:rsid w:val="001E31D4"/>
    <w:rsid w:val="001F56CD"/>
    <w:rsid w:val="001F7BD0"/>
    <w:rsid w:val="00230ABF"/>
    <w:rsid w:val="00231887"/>
    <w:rsid w:val="00236AC5"/>
    <w:rsid w:val="0025695E"/>
    <w:rsid w:val="002735D5"/>
    <w:rsid w:val="002A6404"/>
    <w:rsid w:val="002B65BA"/>
    <w:rsid w:val="002C3815"/>
    <w:rsid w:val="002D354E"/>
    <w:rsid w:val="002D5D16"/>
    <w:rsid w:val="002D7908"/>
    <w:rsid w:val="002E76A3"/>
    <w:rsid w:val="003047C0"/>
    <w:rsid w:val="003150DD"/>
    <w:rsid w:val="00321094"/>
    <w:rsid w:val="00340033"/>
    <w:rsid w:val="003449F1"/>
    <w:rsid w:val="0035375E"/>
    <w:rsid w:val="00356488"/>
    <w:rsid w:val="00357D31"/>
    <w:rsid w:val="0037417D"/>
    <w:rsid w:val="003743A2"/>
    <w:rsid w:val="00387D75"/>
    <w:rsid w:val="003A6838"/>
    <w:rsid w:val="003C739E"/>
    <w:rsid w:val="003D2564"/>
    <w:rsid w:val="003E11CF"/>
    <w:rsid w:val="003E6416"/>
    <w:rsid w:val="003E73CB"/>
    <w:rsid w:val="003F3965"/>
    <w:rsid w:val="003F3D5A"/>
    <w:rsid w:val="00401867"/>
    <w:rsid w:val="00436A00"/>
    <w:rsid w:val="004501C6"/>
    <w:rsid w:val="00456B2E"/>
    <w:rsid w:val="00462690"/>
    <w:rsid w:val="0046717D"/>
    <w:rsid w:val="00474A96"/>
    <w:rsid w:val="00475E00"/>
    <w:rsid w:val="0049584E"/>
    <w:rsid w:val="004A0EE1"/>
    <w:rsid w:val="004A665B"/>
    <w:rsid w:val="004C4396"/>
    <w:rsid w:val="004E03D4"/>
    <w:rsid w:val="004E29E3"/>
    <w:rsid w:val="004E7639"/>
    <w:rsid w:val="004F02E8"/>
    <w:rsid w:val="004F32A6"/>
    <w:rsid w:val="004F4274"/>
    <w:rsid w:val="00507C7A"/>
    <w:rsid w:val="00512055"/>
    <w:rsid w:val="00530F3E"/>
    <w:rsid w:val="00542D5C"/>
    <w:rsid w:val="0056120B"/>
    <w:rsid w:val="00571FF6"/>
    <w:rsid w:val="00577D6A"/>
    <w:rsid w:val="00581914"/>
    <w:rsid w:val="005822EA"/>
    <w:rsid w:val="00587451"/>
    <w:rsid w:val="0059606F"/>
    <w:rsid w:val="005965FD"/>
    <w:rsid w:val="005A22C5"/>
    <w:rsid w:val="005A750B"/>
    <w:rsid w:val="005B529A"/>
    <w:rsid w:val="005C7C14"/>
    <w:rsid w:val="005E4049"/>
    <w:rsid w:val="005E6697"/>
    <w:rsid w:val="005E69EE"/>
    <w:rsid w:val="005F42DE"/>
    <w:rsid w:val="00600EB1"/>
    <w:rsid w:val="00602C0B"/>
    <w:rsid w:val="00606668"/>
    <w:rsid w:val="00610EE8"/>
    <w:rsid w:val="00613411"/>
    <w:rsid w:val="00613B14"/>
    <w:rsid w:val="00633472"/>
    <w:rsid w:val="00643B00"/>
    <w:rsid w:val="00650363"/>
    <w:rsid w:val="0065074F"/>
    <w:rsid w:val="00663B13"/>
    <w:rsid w:val="0068487B"/>
    <w:rsid w:val="0068516B"/>
    <w:rsid w:val="00691572"/>
    <w:rsid w:val="006A245A"/>
    <w:rsid w:val="006C06AD"/>
    <w:rsid w:val="006E3094"/>
    <w:rsid w:val="006E3AC4"/>
    <w:rsid w:val="006F0995"/>
    <w:rsid w:val="00704772"/>
    <w:rsid w:val="00715CF7"/>
    <w:rsid w:val="007207E7"/>
    <w:rsid w:val="00724F8C"/>
    <w:rsid w:val="00742007"/>
    <w:rsid w:val="007609F9"/>
    <w:rsid w:val="0076142E"/>
    <w:rsid w:val="00761E21"/>
    <w:rsid w:val="00763835"/>
    <w:rsid w:val="00771FED"/>
    <w:rsid w:val="007842F7"/>
    <w:rsid w:val="007A24C5"/>
    <w:rsid w:val="007B269F"/>
    <w:rsid w:val="007B4FD9"/>
    <w:rsid w:val="007B706B"/>
    <w:rsid w:val="007C6418"/>
    <w:rsid w:val="0080212C"/>
    <w:rsid w:val="00811F0B"/>
    <w:rsid w:val="00816AF7"/>
    <w:rsid w:val="00822681"/>
    <w:rsid w:val="00823DD3"/>
    <w:rsid w:val="00825EA1"/>
    <w:rsid w:val="00826322"/>
    <w:rsid w:val="00831955"/>
    <w:rsid w:val="00837DB7"/>
    <w:rsid w:val="00845144"/>
    <w:rsid w:val="00852E04"/>
    <w:rsid w:val="0085484E"/>
    <w:rsid w:val="008562DC"/>
    <w:rsid w:val="00870708"/>
    <w:rsid w:val="00880D45"/>
    <w:rsid w:val="00886BA2"/>
    <w:rsid w:val="0089326B"/>
    <w:rsid w:val="00893336"/>
    <w:rsid w:val="008A68B1"/>
    <w:rsid w:val="008F5F81"/>
    <w:rsid w:val="00906858"/>
    <w:rsid w:val="0093125E"/>
    <w:rsid w:val="009322E3"/>
    <w:rsid w:val="00962C3D"/>
    <w:rsid w:val="009763F6"/>
    <w:rsid w:val="00997FAF"/>
    <w:rsid w:val="009A03DA"/>
    <w:rsid w:val="009B0760"/>
    <w:rsid w:val="009B541D"/>
    <w:rsid w:val="009B7F26"/>
    <w:rsid w:val="009C33AD"/>
    <w:rsid w:val="009D19CE"/>
    <w:rsid w:val="009D35C5"/>
    <w:rsid w:val="009E1467"/>
    <w:rsid w:val="009E5550"/>
    <w:rsid w:val="00A02194"/>
    <w:rsid w:val="00A03624"/>
    <w:rsid w:val="00A10B59"/>
    <w:rsid w:val="00A321F9"/>
    <w:rsid w:val="00A54826"/>
    <w:rsid w:val="00A56CDC"/>
    <w:rsid w:val="00A57D95"/>
    <w:rsid w:val="00A93053"/>
    <w:rsid w:val="00AB1B3C"/>
    <w:rsid w:val="00AD640D"/>
    <w:rsid w:val="00AE0FBD"/>
    <w:rsid w:val="00AE57B5"/>
    <w:rsid w:val="00AF3DDE"/>
    <w:rsid w:val="00B000CD"/>
    <w:rsid w:val="00B008E8"/>
    <w:rsid w:val="00B12160"/>
    <w:rsid w:val="00B16AE2"/>
    <w:rsid w:val="00B33B95"/>
    <w:rsid w:val="00B340E7"/>
    <w:rsid w:val="00B502DF"/>
    <w:rsid w:val="00B5102D"/>
    <w:rsid w:val="00B532D8"/>
    <w:rsid w:val="00B57A6D"/>
    <w:rsid w:val="00B64E9C"/>
    <w:rsid w:val="00B652A3"/>
    <w:rsid w:val="00B80510"/>
    <w:rsid w:val="00BB0D37"/>
    <w:rsid w:val="00BB3115"/>
    <w:rsid w:val="00BB5122"/>
    <w:rsid w:val="00BC3E2A"/>
    <w:rsid w:val="00BD6563"/>
    <w:rsid w:val="00BF2164"/>
    <w:rsid w:val="00C1669E"/>
    <w:rsid w:val="00C2399C"/>
    <w:rsid w:val="00C34FE5"/>
    <w:rsid w:val="00C35DCD"/>
    <w:rsid w:val="00C367A0"/>
    <w:rsid w:val="00C5260B"/>
    <w:rsid w:val="00C6025B"/>
    <w:rsid w:val="00C76710"/>
    <w:rsid w:val="00C81034"/>
    <w:rsid w:val="00C81BC3"/>
    <w:rsid w:val="00C87DE9"/>
    <w:rsid w:val="00C91CAB"/>
    <w:rsid w:val="00C96DE3"/>
    <w:rsid w:val="00CA2B12"/>
    <w:rsid w:val="00CA4E92"/>
    <w:rsid w:val="00CD2360"/>
    <w:rsid w:val="00CF1D77"/>
    <w:rsid w:val="00CF3E5E"/>
    <w:rsid w:val="00D4647D"/>
    <w:rsid w:val="00D526AA"/>
    <w:rsid w:val="00D54649"/>
    <w:rsid w:val="00D6418C"/>
    <w:rsid w:val="00D7419F"/>
    <w:rsid w:val="00D76EFC"/>
    <w:rsid w:val="00D8748D"/>
    <w:rsid w:val="00D94D61"/>
    <w:rsid w:val="00DA0221"/>
    <w:rsid w:val="00DC09F6"/>
    <w:rsid w:val="00DD6989"/>
    <w:rsid w:val="00DD74F2"/>
    <w:rsid w:val="00DE039B"/>
    <w:rsid w:val="00DF332C"/>
    <w:rsid w:val="00DF51EB"/>
    <w:rsid w:val="00E001B0"/>
    <w:rsid w:val="00E011B5"/>
    <w:rsid w:val="00E10367"/>
    <w:rsid w:val="00E26673"/>
    <w:rsid w:val="00E32DCE"/>
    <w:rsid w:val="00E42A48"/>
    <w:rsid w:val="00E444A2"/>
    <w:rsid w:val="00E46C8E"/>
    <w:rsid w:val="00E4793F"/>
    <w:rsid w:val="00E50846"/>
    <w:rsid w:val="00E70172"/>
    <w:rsid w:val="00EA6253"/>
    <w:rsid w:val="00EB5B65"/>
    <w:rsid w:val="00EE15AB"/>
    <w:rsid w:val="00EF0583"/>
    <w:rsid w:val="00EF158A"/>
    <w:rsid w:val="00F01512"/>
    <w:rsid w:val="00F015CC"/>
    <w:rsid w:val="00F0369E"/>
    <w:rsid w:val="00F042A5"/>
    <w:rsid w:val="00F110CC"/>
    <w:rsid w:val="00F23982"/>
    <w:rsid w:val="00F24B7E"/>
    <w:rsid w:val="00F33F00"/>
    <w:rsid w:val="00F364AB"/>
    <w:rsid w:val="00F43BDA"/>
    <w:rsid w:val="00F46B9E"/>
    <w:rsid w:val="00F72C95"/>
    <w:rsid w:val="00F7694D"/>
    <w:rsid w:val="00F95EF8"/>
    <w:rsid w:val="00FA0087"/>
    <w:rsid w:val="00FB65CE"/>
    <w:rsid w:val="00FD0CA7"/>
    <w:rsid w:val="00FD5FB6"/>
    <w:rsid w:val="00FF2756"/>
    <w:rsid w:val="00FF4DD0"/>
    <w:rsid w:val="00FF5710"/>
    <w:rsid w:val="00FF6BDC"/>
    <w:rsid w:val="02AB5357"/>
    <w:rsid w:val="02E1392C"/>
    <w:rsid w:val="032233CF"/>
    <w:rsid w:val="03523855"/>
    <w:rsid w:val="04576AAB"/>
    <w:rsid w:val="04743AC0"/>
    <w:rsid w:val="06445B5D"/>
    <w:rsid w:val="071D4AEC"/>
    <w:rsid w:val="07A02BE8"/>
    <w:rsid w:val="07B119D7"/>
    <w:rsid w:val="0ADF0B63"/>
    <w:rsid w:val="0BD2530A"/>
    <w:rsid w:val="0BEF166A"/>
    <w:rsid w:val="0CB45AF5"/>
    <w:rsid w:val="0E736B11"/>
    <w:rsid w:val="0EAF4BC3"/>
    <w:rsid w:val="0F5C6384"/>
    <w:rsid w:val="0FE95707"/>
    <w:rsid w:val="0FEFF6B7"/>
    <w:rsid w:val="104D4694"/>
    <w:rsid w:val="11E20E0C"/>
    <w:rsid w:val="12A36A99"/>
    <w:rsid w:val="12A762DD"/>
    <w:rsid w:val="13F91BE5"/>
    <w:rsid w:val="13FB8130"/>
    <w:rsid w:val="141E77FB"/>
    <w:rsid w:val="14694845"/>
    <w:rsid w:val="14A8633C"/>
    <w:rsid w:val="15E05668"/>
    <w:rsid w:val="17FB1183"/>
    <w:rsid w:val="18354C7A"/>
    <w:rsid w:val="18FBC45A"/>
    <w:rsid w:val="199778A2"/>
    <w:rsid w:val="19CA3DCA"/>
    <w:rsid w:val="1A961E12"/>
    <w:rsid w:val="1AD63C29"/>
    <w:rsid w:val="1B7755D9"/>
    <w:rsid w:val="1C2B0798"/>
    <w:rsid w:val="1C9E6BBA"/>
    <w:rsid w:val="1E587245"/>
    <w:rsid w:val="1F536889"/>
    <w:rsid w:val="1FBE0616"/>
    <w:rsid w:val="20901FC5"/>
    <w:rsid w:val="2271084C"/>
    <w:rsid w:val="230D50AC"/>
    <w:rsid w:val="23973FEE"/>
    <w:rsid w:val="23E4243E"/>
    <w:rsid w:val="24DD0CFC"/>
    <w:rsid w:val="253FA047"/>
    <w:rsid w:val="25434B60"/>
    <w:rsid w:val="28A23E99"/>
    <w:rsid w:val="2ABF3E7C"/>
    <w:rsid w:val="2B7148CF"/>
    <w:rsid w:val="2BBD2F08"/>
    <w:rsid w:val="2BD91DE9"/>
    <w:rsid w:val="2BF7B67A"/>
    <w:rsid w:val="2C016968"/>
    <w:rsid w:val="2C936F09"/>
    <w:rsid w:val="2E443131"/>
    <w:rsid w:val="2FBE937E"/>
    <w:rsid w:val="2FF9D45A"/>
    <w:rsid w:val="2FFF0312"/>
    <w:rsid w:val="31255A91"/>
    <w:rsid w:val="31992050"/>
    <w:rsid w:val="32770E3A"/>
    <w:rsid w:val="334E6E00"/>
    <w:rsid w:val="337B4610"/>
    <w:rsid w:val="33B57C1C"/>
    <w:rsid w:val="36E23B89"/>
    <w:rsid w:val="37140BB6"/>
    <w:rsid w:val="37B7B981"/>
    <w:rsid w:val="37F97E78"/>
    <w:rsid w:val="38FF7FC2"/>
    <w:rsid w:val="39AFB406"/>
    <w:rsid w:val="39DC7D6B"/>
    <w:rsid w:val="3B8E5B95"/>
    <w:rsid w:val="3CE35ED2"/>
    <w:rsid w:val="3CF45F1C"/>
    <w:rsid w:val="3DFE0C51"/>
    <w:rsid w:val="3E4756EA"/>
    <w:rsid w:val="3F041198"/>
    <w:rsid w:val="3F1D5E36"/>
    <w:rsid w:val="3FB74C61"/>
    <w:rsid w:val="3FEE1B58"/>
    <w:rsid w:val="3FEF7C22"/>
    <w:rsid w:val="3FF64385"/>
    <w:rsid w:val="40080BA0"/>
    <w:rsid w:val="406214AE"/>
    <w:rsid w:val="40A86DCD"/>
    <w:rsid w:val="435A5694"/>
    <w:rsid w:val="44406889"/>
    <w:rsid w:val="44467520"/>
    <w:rsid w:val="470145AE"/>
    <w:rsid w:val="480F70C2"/>
    <w:rsid w:val="481C4F33"/>
    <w:rsid w:val="482F1297"/>
    <w:rsid w:val="49051D04"/>
    <w:rsid w:val="493F34E2"/>
    <w:rsid w:val="49AC4177"/>
    <w:rsid w:val="4A3169E9"/>
    <w:rsid w:val="4A692E25"/>
    <w:rsid w:val="4A6C7923"/>
    <w:rsid w:val="4A7C0E4A"/>
    <w:rsid w:val="4B130494"/>
    <w:rsid w:val="4B38003B"/>
    <w:rsid w:val="4CED0D3D"/>
    <w:rsid w:val="4CF141B8"/>
    <w:rsid w:val="4DAC2D55"/>
    <w:rsid w:val="4E672C0C"/>
    <w:rsid w:val="4F212789"/>
    <w:rsid w:val="4FBBE899"/>
    <w:rsid w:val="4FF5EE10"/>
    <w:rsid w:val="50815B63"/>
    <w:rsid w:val="5171C39C"/>
    <w:rsid w:val="53C86D98"/>
    <w:rsid w:val="546522E7"/>
    <w:rsid w:val="54FB9873"/>
    <w:rsid w:val="557B0BBD"/>
    <w:rsid w:val="55D5564F"/>
    <w:rsid w:val="577613A7"/>
    <w:rsid w:val="577730AA"/>
    <w:rsid w:val="57B020B2"/>
    <w:rsid w:val="57BF55C4"/>
    <w:rsid w:val="59DB6DC4"/>
    <w:rsid w:val="5FA870E7"/>
    <w:rsid w:val="5FD95711"/>
    <w:rsid w:val="5FF612B9"/>
    <w:rsid w:val="5FFF95EE"/>
    <w:rsid w:val="60506AA6"/>
    <w:rsid w:val="61BF812B"/>
    <w:rsid w:val="627CF0C6"/>
    <w:rsid w:val="62F40280"/>
    <w:rsid w:val="637F3391"/>
    <w:rsid w:val="64190D15"/>
    <w:rsid w:val="657F6F54"/>
    <w:rsid w:val="65FE64DE"/>
    <w:rsid w:val="67E6D651"/>
    <w:rsid w:val="6BAE1E2A"/>
    <w:rsid w:val="6C8032D0"/>
    <w:rsid w:val="6D8B0FA3"/>
    <w:rsid w:val="6DEEFA87"/>
    <w:rsid w:val="6E072901"/>
    <w:rsid w:val="6E535DFD"/>
    <w:rsid w:val="6E5D7504"/>
    <w:rsid w:val="6EB571C9"/>
    <w:rsid w:val="6EF75FBA"/>
    <w:rsid w:val="6F71345D"/>
    <w:rsid w:val="6F92CBF2"/>
    <w:rsid w:val="6FAC6713"/>
    <w:rsid w:val="6FBC3AEC"/>
    <w:rsid w:val="6FBD40AC"/>
    <w:rsid w:val="6FF7AC49"/>
    <w:rsid w:val="6FFFCD80"/>
    <w:rsid w:val="6FFFD1A5"/>
    <w:rsid w:val="7073037B"/>
    <w:rsid w:val="728E5D57"/>
    <w:rsid w:val="72FC0415"/>
    <w:rsid w:val="732D7107"/>
    <w:rsid w:val="733DA7AE"/>
    <w:rsid w:val="73466BDE"/>
    <w:rsid w:val="73C6E29B"/>
    <w:rsid w:val="75245D29"/>
    <w:rsid w:val="76FB22CA"/>
    <w:rsid w:val="771B144D"/>
    <w:rsid w:val="784A3577"/>
    <w:rsid w:val="78FB5758"/>
    <w:rsid w:val="79BF9797"/>
    <w:rsid w:val="79EF5CDA"/>
    <w:rsid w:val="79FB3DB6"/>
    <w:rsid w:val="7A5B5C9A"/>
    <w:rsid w:val="7A771EAC"/>
    <w:rsid w:val="7AE9B8ED"/>
    <w:rsid w:val="7AFF7581"/>
    <w:rsid w:val="7B212296"/>
    <w:rsid w:val="7B23FAE2"/>
    <w:rsid w:val="7BFBEC0A"/>
    <w:rsid w:val="7C393430"/>
    <w:rsid w:val="7C7C4FB7"/>
    <w:rsid w:val="7CAF07F6"/>
    <w:rsid w:val="7D2E5E6C"/>
    <w:rsid w:val="7D396956"/>
    <w:rsid w:val="7D5E3AB2"/>
    <w:rsid w:val="7D9FEA62"/>
    <w:rsid w:val="7DB9390C"/>
    <w:rsid w:val="7DD7E87A"/>
    <w:rsid w:val="7DDDCE0C"/>
    <w:rsid w:val="7E65F8EA"/>
    <w:rsid w:val="7EFB6054"/>
    <w:rsid w:val="7EFF927D"/>
    <w:rsid w:val="7F435763"/>
    <w:rsid w:val="7F5E4FAE"/>
    <w:rsid w:val="7F7A362C"/>
    <w:rsid w:val="7F8F9395"/>
    <w:rsid w:val="7F9E4466"/>
    <w:rsid w:val="7FA30841"/>
    <w:rsid w:val="7FDB9552"/>
    <w:rsid w:val="7FECA8B8"/>
    <w:rsid w:val="7FF56AF8"/>
    <w:rsid w:val="96FB14F4"/>
    <w:rsid w:val="9A7F665D"/>
    <w:rsid w:val="A6FB8EAB"/>
    <w:rsid w:val="A8BFC811"/>
    <w:rsid w:val="A9FFB847"/>
    <w:rsid w:val="ADE38F98"/>
    <w:rsid w:val="ADFF7379"/>
    <w:rsid w:val="AE9FFD78"/>
    <w:rsid w:val="B5FD3389"/>
    <w:rsid w:val="B87A715D"/>
    <w:rsid w:val="B8DDBCA0"/>
    <w:rsid w:val="B8FFED6D"/>
    <w:rsid w:val="BB7B2AD6"/>
    <w:rsid w:val="BBB9FD97"/>
    <w:rsid w:val="BF584DB6"/>
    <w:rsid w:val="BF5FE38F"/>
    <w:rsid w:val="BF7D5DC7"/>
    <w:rsid w:val="BF7FE3FA"/>
    <w:rsid w:val="BFB93DC1"/>
    <w:rsid w:val="BFFBCB88"/>
    <w:rsid w:val="BFFED24A"/>
    <w:rsid w:val="CB7EFC83"/>
    <w:rsid w:val="D4FD381B"/>
    <w:rsid w:val="D7DED037"/>
    <w:rsid w:val="D7ED05FB"/>
    <w:rsid w:val="D7FF1C70"/>
    <w:rsid w:val="DABF660E"/>
    <w:rsid w:val="DF148ACC"/>
    <w:rsid w:val="DF9B6BE4"/>
    <w:rsid w:val="DF9BCADC"/>
    <w:rsid w:val="DFF4E5D0"/>
    <w:rsid w:val="DFFC84F5"/>
    <w:rsid w:val="E38FEC5B"/>
    <w:rsid w:val="E477C3FC"/>
    <w:rsid w:val="EBF7F9DA"/>
    <w:rsid w:val="EBFF8F6B"/>
    <w:rsid w:val="EDDA3D83"/>
    <w:rsid w:val="EFF9F66B"/>
    <w:rsid w:val="F06543D2"/>
    <w:rsid w:val="F3E83967"/>
    <w:rsid w:val="F3FE7B19"/>
    <w:rsid w:val="F4BBA60E"/>
    <w:rsid w:val="F74041F1"/>
    <w:rsid w:val="F77A7D51"/>
    <w:rsid w:val="F7F65672"/>
    <w:rsid w:val="F7F9B500"/>
    <w:rsid w:val="F7FB711F"/>
    <w:rsid w:val="FA7F802F"/>
    <w:rsid w:val="FB7BEC9A"/>
    <w:rsid w:val="FB7F48BC"/>
    <w:rsid w:val="FB98A384"/>
    <w:rsid w:val="FBB13598"/>
    <w:rsid w:val="FBDFD238"/>
    <w:rsid w:val="FBFC9C5C"/>
    <w:rsid w:val="FCEB5C22"/>
    <w:rsid w:val="FDBFEB3B"/>
    <w:rsid w:val="FDDFA833"/>
    <w:rsid w:val="FED331F7"/>
    <w:rsid w:val="FEEC315F"/>
    <w:rsid w:val="FF6FFC9E"/>
    <w:rsid w:val="FF773948"/>
    <w:rsid w:val="FF7C45E5"/>
    <w:rsid w:val="FF9DAB9E"/>
    <w:rsid w:val="FFB3AAFF"/>
    <w:rsid w:val="FFBD62B4"/>
    <w:rsid w:val="FFBDF76C"/>
    <w:rsid w:val="FFCFCA55"/>
    <w:rsid w:val="FFDCD0F1"/>
    <w:rsid w:val="FFEFE3A9"/>
    <w:rsid w:val="FFF7B5A3"/>
    <w:rsid w:val="FFFD1A61"/>
    <w:rsid w:val="FFFD4EEC"/>
    <w:rsid w:val="FFFFC4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cs="仿宋_GB2312"/>
      <w:sz w:val="18"/>
      <w:szCs w:val="18"/>
    </w:rPr>
  </w:style>
  <w:style w:type="paragraph" w:styleId="4">
    <w:name w:val="toa heading"/>
    <w:basedOn w:val="1"/>
    <w:next w:val="1"/>
    <w:unhideWhenUsed/>
    <w:qFormat/>
    <w:uiPriority w:val="99"/>
    <w:pPr>
      <w:spacing w:before="120"/>
    </w:pPr>
    <w:rPr>
      <w:rFonts w:ascii="Cambria" w:hAnsi="Cambria" w:eastAsia="宋体" w:cs="Times New Roman"/>
      <w:sz w:val="24"/>
    </w:rPr>
  </w:style>
  <w:style w:type="paragraph" w:styleId="5">
    <w:name w:val="Body Text"/>
    <w:basedOn w:val="1"/>
    <w:qFormat/>
    <w:uiPriority w:val="0"/>
    <w:pPr>
      <w:spacing w:after="12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12">
    <w:name w:val="Table Paragraph"/>
    <w:basedOn w:val="1"/>
    <w:qFormat/>
    <w:uiPriority w:val="1"/>
    <w:rPr>
      <w:rFonts w:ascii="宋体" w:hAnsi="宋体" w:eastAsia="宋体" w:cs="宋体"/>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table" w:customStyle="1" w:styleId="15">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浅色1"/>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17">
    <w:name w:val="List Paragraph"/>
    <w:basedOn w:val="1"/>
    <w:qFormat/>
    <w:uiPriority w:val="99"/>
    <w:pPr>
      <w:ind w:firstLine="420" w:firstLineChars="200"/>
    </w:pPr>
  </w:style>
  <w:style w:type="character" w:customStyle="1" w:styleId="18">
    <w:name w:val="font21"/>
    <w:basedOn w:val="10"/>
    <w:qFormat/>
    <w:uiPriority w:val="0"/>
    <w:rPr>
      <w:rFonts w:hint="default" w:ascii="仿宋" w:hAnsi="仿宋" w:eastAsia="仿宋" w:cs="仿宋"/>
      <w:b/>
      <w:bCs/>
      <w:color w:val="000000"/>
      <w:sz w:val="18"/>
      <w:szCs w:val="18"/>
      <w:u w:val="none"/>
    </w:rPr>
  </w:style>
  <w:style w:type="character" w:customStyle="1" w:styleId="19">
    <w:name w:val="font41"/>
    <w:basedOn w:val="10"/>
    <w:qFormat/>
    <w:uiPriority w:val="0"/>
    <w:rPr>
      <w:rFonts w:hint="default" w:ascii="仿宋" w:hAnsi="仿宋" w:eastAsia="仿宋" w:cs="仿宋"/>
      <w:color w:val="000000"/>
      <w:sz w:val="18"/>
      <w:szCs w:val="18"/>
      <w:u w:val="none"/>
    </w:rPr>
  </w:style>
  <w:style w:type="character" w:customStyle="1" w:styleId="20">
    <w:name w:val="font61"/>
    <w:basedOn w:val="10"/>
    <w:qFormat/>
    <w:uiPriority w:val="0"/>
    <w:rPr>
      <w:rFonts w:hint="default" w:ascii="仿宋" w:hAnsi="仿宋" w:eastAsia="仿宋" w:cs="仿宋"/>
      <w:color w:val="000000"/>
      <w:sz w:val="18"/>
      <w:szCs w:val="18"/>
      <w:u w:val="none"/>
    </w:rPr>
  </w:style>
  <w:style w:type="paragraph" w:customStyle="1" w:styleId="21">
    <w:name w:val="样式1"/>
    <w:basedOn w:val="3"/>
    <w:next w:val="1"/>
    <w:qFormat/>
    <w:uiPriority w:val="0"/>
    <w:pPr>
      <w:jc w:val="left"/>
    </w:pPr>
    <w:rPr>
      <w:rFonts w:hint="eastAsia" w:ascii="黑体" w:hAnsi="黑体" w:eastAsia="黑体" w:cs="仿宋"/>
      <w:bCs/>
      <w:kern w:val="0"/>
      <w:sz w:val="28"/>
      <w:szCs w:val="28"/>
    </w:rPr>
  </w:style>
  <w:style w:type="character" w:customStyle="1" w:styleId="22">
    <w:name w:val="font1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13956</Words>
  <Characters>15419</Characters>
  <Lines>1</Lines>
  <Paragraphs>1</Paragraphs>
  <TotalTime>4</TotalTime>
  <ScaleCrop>false</ScaleCrop>
  <LinksUpToDate>false</LinksUpToDate>
  <CharactersWithSpaces>15773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2022-06-25T06:42:00Z</dcterms:created>
  <dc:creator>难捱的离骚</dc:creator>
  <cp:lastModifiedBy>芳</cp:lastModifiedBy>
  <cp:lastPrinted>2022-06-24T01:39:00Z</cp:lastPrinted>
  <dcterms:modified xsi:type="dcterms:W3CDTF">2022-11-08T11:27:35Z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DEEAE964F7384A3295612347E6974436</vt:lpwstr>
  </property>
</Properties>
</file>